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8C" w:rsidRDefault="002C6390" w:rsidP="002C6390">
      <w:pPr>
        <w:pStyle w:val="2"/>
        <w:ind w:firstLineChars="0" w:firstLine="0"/>
      </w:pPr>
      <w:r>
        <w:rPr>
          <w:rFonts w:hint="eastAsia"/>
        </w:rPr>
        <w:t>附件：</w:t>
      </w:r>
    </w:p>
    <w:p w:rsidR="00A6618C" w:rsidRDefault="000C59D0" w:rsidP="0093638C">
      <w:pPr>
        <w:tabs>
          <w:tab w:val="left" w:pos="0"/>
        </w:tabs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项目技术服务要求</w:t>
      </w:r>
      <w:bookmarkStart w:id="0" w:name="_GoBack"/>
      <w:bookmarkEnd w:id="0"/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040"/>
        <w:gridCol w:w="922"/>
        <w:gridCol w:w="1083"/>
        <w:gridCol w:w="5153"/>
        <w:gridCol w:w="616"/>
        <w:gridCol w:w="613"/>
      </w:tblGrid>
      <w:tr w:rsidR="00A6618C">
        <w:trPr>
          <w:trHeight w:val="480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  <w:p w:rsidR="00A6618C" w:rsidRDefault="000C59D0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922" w:type="dxa"/>
            <w:vAlign w:val="center"/>
          </w:tcPr>
          <w:p w:rsidR="00A6618C" w:rsidRDefault="002C63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推荐</w:t>
            </w:r>
            <w:r w:rsidR="000C59D0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品牌</w:t>
            </w:r>
          </w:p>
        </w:tc>
        <w:tc>
          <w:tcPr>
            <w:tcW w:w="1083" w:type="dxa"/>
            <w:vAlign w:val="center"/>
          </w:tcPr>
          <w:p w:rsidR="00A6618C" w:rsidRDefault="002C63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推荐</w:t>
            </w:r>
            <w:r w:rsidR="000C59D0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功能及技术要求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93638C">
        <w:trPr>
          <w:trHeight w:val="508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93638C" w:rsidRDefault="0093638C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40" w:type="dxa"/>
            <w:vAlign w:val="center"/>
          </w:tcPr>
          <w:p w:rsidR="0093638C" w:rsidRDefault="0093638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高清激光投影机（6000流明）</w:t>
            </w:r>
          </w:p>
        </w:tc>
        <w:tc>
          <w:tcPr>
            <w:tcW w:w="922" w:type="dxa"/>
            <w:vAlign w:val="center"/>
          </w:tcPr>
          <w:p w:rsidR="0093638C" w:rsidRDefault="0093638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麦克赛尔</w:t>
            </w:r>
          </w:p>
        </w:tc>
        <w:tc>
          <w:tcPr>
            <w:tcW w:w="1083" w:type="dxa"/>
            <w:vAlign w:val="center"/>
          </w:tcPr>
          <w:p w:rsidR="0093638C" w:rsidRDefault="0093638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MMP-F6010UH</w:t>
            </w:r>
          </w:p>
        </w:tc>
        <w:tc>
          <w:tcPr>
            <w:tcW w:w="5153" w:type="dxa"/>
            <w:vAlign w:val="center"/>
          </w:tcPr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亮度：≥6000LM(ISO21118标准)；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分辨率：1920 x 1200（2,304,000像素）；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3.显示宽高比：16：10（兼容4：3，16：9）；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对比度：1,500,000:1(动态模式)；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5.成像系统：HTPS高温多晶硅有源矩阵式液晶显示板≥0.64英寸（显示宽高比16：10）；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6.成像技术：3LCD技术；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7.光源类型：激光二极管；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光源寿命：20,000小时(标准模式/静音);30,000小时(模式1);50,000小时(模式2)；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9.整机功率：正常模式≤420W；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10.待机功耗：≤0.35W(节能模式)；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11.工作温度：0~40℃；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12.重量：约8.5kg（工程机型）;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13.输入接口：15针微型D-sub端子×2、RCA端子x1、HDMI x2、HDBaseTx1、AUDIO（3.5mm接口）x2、RCAL/R端子x1、RS-232x1、LANx1、USB-Ax1;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14.输出接口：15针微型D-sub端子×1、AUDIO（3.5mm接口）x1；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15.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ACCENTUALIZER(图像分明处理)技术，通过强化适用于激光光源颜色特性的“精细感”“阴影感”“鲜艳度”等来 增强影像的真实感。同时，第二代 HDCR 调整功能进行了“高演色化”改善， 能够更为深入地校正因室内照明或者外界光源对画面造成的影响，从而提 升画面对比效果，优化视觉感受。即使在明亮的环境下，也能够清晰显示影像。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16.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内置8点校正、弧形校正，可调节不规则平面幕；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17.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内置画面重影修正功能可将重影画面调节为高质量图像；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18.支持双数字信号画中画、画外画显示；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19.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1.7倍手动变焦、覆盖投射比1.4-2.4范围、通过手动控制聚焦、变焦、位移(垂直-56.5% 水平+/-4.6%)；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20.电子快门，可根据需要快速关闭影像，光源自动节能；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lastRenderedPageBreak/>
              <w:t>21.自定义开机显示画面和无信号显示画面；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22.无线传输、有线网络功能显示，多台投影模式；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23.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支持无线双频段（2.4GHz/5GHz），连接更快速，传输更流畅。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24.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高保真16W扬声器；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25.气压传感监控功能、状态监视功能；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26.支持网络集中控制功能兼容RoomView,AMX、PJ-Link、XTP协议；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27.支持快速开关机、信号源激活开机；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28.日程安排、遥控频率切换、遥控按键锁定、身份识别密锁、菜单显示位置调整、多国语言选择；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29.360°全方位安装；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30.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产品认证：提供3C认证，中国节能产品认证，中国环保产品认证等证书复印件，产品检测报告，附加产品彩页；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31.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供货要求：供货时提供厂家供货证明函和售后服务承诺函。提供制造商环境管理体系认证证书ISO14001,质量管理认证证书ISO9001；</w:t>
            </w:r>
          </w:p>
          <w:p w:rsidR="0093638C" w:rsidRDefault="0093638C">
            <w:pPr>
              <w:widowControl/>
              <w:spacing w:line="360" w:lineRule="exact"/>
              <w:jc w:val="left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32.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非OEM产品，生产厂家与制造厂家为同一厂家，以3c报告为准</w:t>
            </w:r>
          </w:p>
        </w:tc>
        <w:tc>
          <w:tcPr>
            <w:tcW w:w="616" w:type="dxa"/>
            <w:vAlign w:val="center"/>
          </w:tcPr>
          <w:p w:rsidR="0093638C" w:rsidRDefault="0093638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613" w:type="dxa"/>
            <w:vAlign w:val="center"/>
          </w:tcPr>
          <w:p w:rsidR="0093638C" w:rsidRDefault="0093638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8A623A" w:rsidTr="008A623A">
        <w:trPr>
          <w:trHeight w:val="50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23A" w:rsidRDefault="008A623A" w:rsidP="006520B4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电动幕布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P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白雪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P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120寸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Pr="008A623A" w:rsidRDefault="008A623A" w:rsidP="008A623A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120寸16:10电动幕布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8A623A" w:rsidTr="008A623A">
        <w:trPr>
          <w:trHeight w:val="50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23A" w:rsidRDefault="008A623A" w:rsidP="006520B4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固定吊装支架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P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8A623A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国产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P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8A623A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Pr="008A623A" w:rsidRDefault="008A623A" w:rsidP="008A623A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1.5米加厚吊架 工程机吊架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8A623A" w:rsidTr="008A623A">
        <w:trPr>
          <w:trHeight w:val="50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23A" w:rsidRDefault="008A623A" w:rsidP="006520B4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线缆辅材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P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8A623A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国产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P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Pr="008A623A" w:rsidRDefault="008A623A" w:rsidP="008A623A">
            <w:pPr>
              <w:widowControl/>
              <w:spacing w:line="36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 w:rsidRPr="008A623A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电源线、PVC线材等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3A" w:rsidRDefault="008A623A" w:rsidP="006520B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批</w:t>
            </w:r>
          </w:p>
        </w:tc>
      </w:tr>
    </w:tbl>
    <w:p w:rsidR="00A6618C" w:rsidRDefault="00A6618C">
      <w:pPr>
        <w:pStyle w:val="2"/>
        <w:ind w:firstLineChars="0" w:firstLine="0"/>
        <w:rPr>
          <w:rFonts w:ascii="宋体" w:hAnsi="宋体"/>
          <w:color w:val="FF0000"/>
          <w:sz w:val="21"/>
          <w:szCs w:val="21"/>
        </w:rPr>
      </w:pPr>
    </w:p>
    <w:p w:rsidR="00A6618C" w:rsidRDefault="000C59D0">
      <w:pPr>
        <w:pStyle w:val="2"/>
        <w:ind w:firstLineChars="0" w:firstLine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color w:val="FF0000"/>
          <w:sz w:val="21"/>
          <w:szCs w:val="21"/>
        </w:rPr>
        <w:t>要求：</w:t>
      </w:r>
      <w:r>
        <w:rPr>
          <w:rFonts w:ascii="宋体" w:hAnsi="宋体"/>
          <w:b/>
          <w:bCs/>
          <w:color w:val="FF0000"/>
          <w:sz w:val="21"/>
          <w:szCs w:val="21"/>
        </w:rPr>
        <w:t>其中技术参数要求中所标的“</w:t>
      </w:r>
      <w:r>
        <w:rPr>
          <w:rFonts w:ascii="宋体" w:hAnsi="宋体"/>
          <w:b/>
          <w:bCs/>
          <w:color w:val="FF0000"/>
          <w:kern w:val="0"/>
          <w:sz w:val="21"/>
          <w:szCs w:val="21"/>
        </w:rPr>
        <w:t>▲</w:t>
      </w:r>
      <w:r>
        <w:rPr>
          <w:rFonts w:ascii="宋体" w:hAnsi="宋体"/>
          <w:b/>
          <w:bCs/>
          <w:color w:val="FF0000"/>
          <w:sz w:val="21"/>
          <w:szCs w:val="21"/>
        </w:rPr>
        <w:t>”号条款为</w:t>
      </w:r>
      <w:r>
        <w:rPr>
          <w:rFonts w:ascii="宋体" w:hAnsi="宋体" w:hint="eastAsia"/>
          <w:b/>
          <w:bCs/>
          <w:color w:val="FF0000"/>
          <w:sz w:val="21"/>
          <w:szCs w:val="21"/>
        </w:rPr>
        <w:t>重要技术</w:t>
      </w:r>
      <w:r>
        <w:rPr>
          <w:rFonts w:ascii="宋体" w:hAnsi="宋体"/>
          <w:b/>
          <w:bCs/>
          <w:color w:val="FF0000"/>
          <w:sz w:val="21"/>
          <w:szCs w:val="21"/>
        </w:rPr>
        <w:t>条款，</w:t>
      </w:r>
      <w:r>
        <w:rPr>
          <w:rFonts w:ascii="宋体" w:hAnsi="宋体"/>
          <w:b/>
          <w:bCs/>
          <w:color w:val="FF0000"/>
          <w:kern w:val="0"/>
          <w:sz w:val="21"/>
          <w:szCs w:val="21"/>
        </w:rPr>
        <w:t>▲</w:t>
      </w:r>
      <w:proofErr w:type="gramStart"/>
      <w:r>
        <w:rPr>
          <w:rFonts w:ascii="宋体" w:hAnsi="宋体" w:hint="eastAsia"/>
          <w:b/>
          <w:bCs/>
          <w:color w:val="FF0000"/>
          <w:kern w:val="0"/>
          <w:sz w:val="21"/>
          <w:szCs w:val="21"/>
        </w:rPr>
        <w:t>号条款项</w:t>
      </w:r>
      <w:proofErr w:type="gramEnd"/>
      <w:r>
        <w:rPr>
          <w:rFonts w:ascii="宋体" w:hAnsi="宋体" w:hint="eastAsia"/>
          <w:b/>
          <w:bCs/>
          <w:color w:val="FF0000"/>
          <w:kern w:val="0"/>
          <w:sz w:val="21"/>
          <w:szCs w:val="21"/>
        </w:rPr>
        <w:t>需提供相应资质证书，如</w:t>
      </w:r>
      <w:r>
        <w:rPr>
          <w:rFonts w:ascii="宋体" w:hAnsi="宋体"/>
          <w:b/>
          <w:bCs/>
          <w:color w:val="FF0000"/>
          <w:sz w:val="21"/>
          <w:szCs w:val="21"/>
        </w:rPr>
        <w:t>未实质性响应招标文件，作无效投标处理；（须按参数要求提供相关证明材料）。</w:t>
      </w:r>
    </w:p>
    <w:p w:rsidR="00A6618C" w:rsidRDefault="00A6618C">
      <w:pPr>
        <w:rPr>
          <w:rFonts w:ascii="宋体" w:hAnsi="宋体"/>
          <w:b/>
          <w:bCs/>
          <w:sz w:val="24"/>
        </w:rPr>
      </w:pPr>
    </w:p>
    <w:sectPr w:rsidR="00A6618C" w:rsidSect="00A6618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50A" w:rsidRDefault="0011550A" w:rsidP="00A6618C">
      <w:r>
        <w:separator/>
      </w:r>
    </w:p>
  </w:endnote>
  <w:endnote w:type="continuationSeparator" w:id="0">
    <w:p w:rsidR="0011550A" w:rsidRDefault="0011550A" w:rsidP="00A66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8C" w:rsidRDefault="00A6618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50A" w:rsidRDefault="0011550A" w:rsidP="00A6618C">
      <w:r>
        <w:separator/>
      </w:r>
    </w:p>
  </w:footnote>
  <w:footnote w:type="continuationSeparator" w:id="0">
    <w:p w:rsidR="0011550A" w:rsidRDefault="0011550A" w:rsidP="00A66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8C" w:rsidRDefault="00A6618C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abstractNum w:abstractNumId="2">
    <w:nsid w:val="00000003"/>
    <w:multiLevelType w:val="multilevel"/>
    <w:tmpl w:val="0000000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618C"/>
    <w:rsid w:val="000C59D0"/>
    <w:rsid w:val="0011550A"/>
    <w:rsid w:val="00120D12"/>
    <w:rsid w:val="002C6390"/>
    <w:rsid w:val="006759E9"/>
    <w:rsid w:val="008A623A"/>
    <w:rsid w:val="0093638C"/>
    <w:rsid w:val="00A6618C"/>
    <w:rsid w:val="00D52731"/>
    <w:rsid w:val="4427758B"/>
    <w:rsid w:val="7A2C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qFormat="1"/>
    <w:lsdException w:name="toc 2" w:qFormat="1"/>
    <w:lsdException w:name="toc 3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6618C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0">
    <w:name w:val="heading 2"/>
    <w:basedOn w:val="a"/>
    <w:next w:val="a"/>
    <w:qFormat/>
    <w:rsid w:val="00A6618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A6618C"/>
    <w:pPr>
      <w:keepNext/>
      <w:numPr>
        <w:ilvl w:val="2"/>
        <w:numId w:val="1"/>
      </w:numPr>
      <w:spacing w:beforeLines="50" w:afterLines="50" w:line="400" w:lineRule="exact"/>
      <w:contextualSpacing/>
      <w:outlineLvl w:val="2"/>
    </w:pPr>
    <w:rPr>
      <w:rFonts w:ascii="宋体" w:hAnsi="宋体"/>
      <w:b/>
      <w:b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rsid w:val="00A6618C"/>
    <w:pPr>
      <w:ind w:firstLineChars="200" w:firstLine="579"/>
    </w:pPr>
    <w:rPr>
      <w:sz w:val="28"/>
      <w:szCs w:val="20"/>
    </w:rPr>
  </w:style>
  <w:style w:type="paragraph" w:styleId="a3">
    <w:name w:val="annotation text"/>
    <w:basedOn w:val="a"/>
    <w:qFormat/>
    <w:rsid w:val="00A6618C"/>
    <w:pPr>
      <w:jc w:val="left"/>
    </w:pPr>
  </w:style>
  <w:style w:type="paragraph" w:styleId="a4">
    <w:name w:val="Body Text Indent"/>
    <w:basedOn w:val="a"/>
    <w:qFormat/>
    <w:rsid w:val="00A6618C"/>
    <w:pPr>
      <w:autoSpaceDE w:val="0"/>
      <w:autoSpaceDN w:val="0"/>
      <w:adjustRightInd w:val="0"/>
      <w:spacing w:line="360" w:lineRule="auto"/>
      <w:ind w:firstLine="480"/>
      <w:jc w:val="left"/>
      <w:textAlignment w:val="baseline"/>
    </w:pPr>
    <w:rPr>
      <w:kern w:val="0"/>
      <w:sz w:val="24"/>
    </w:rPr>
  </w:style>
  <w:style w:type="paragraph" w:styleId="a5">
    <w:name w:val="Balloon Text"/>
    <w:basedOn w:val="a"/>
    <w:link w:val="Char"/>
    <w:qFormat/>
    <w:rsid w:val="00A6618C"/>
    <w:rPr>
      <w:sz w:val="18"/>
      <w:szCs w:val="18"/>
    </w:rPr>
  </w:style>
  <w:style w:type="paragraph" w:styleId="a6">
    <w:name w:val="footer"/>
    <w:basedOn w:val="a"/>
    <w:link w:val="Char0"/>
    <w:qFormat/>
    <w:rsid w:val="00A66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A66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A6618C"/>
    <w:pPr>
      <w:widowControl/>
      <w:spacing w:before="100" w:beforeAutospacing="1" w:after="100" w:afterAutospacing="1"/>
      <w:ind w:firstLineChars="200" w:firstLine="480"/>
      <w:jc w:val="left"/>
    </w:pPr>
    <w:rPr>
      <w:rFonts w:ascii="宋体" w:eastAsia="黑体" w:hAnsi="宋体"/>
      <w:kern w:val="0"/>
      <w:sz w:val="24"/>
    </w:rPr>
  </w:style>
  <w:style w:type="character" w:customStyle="1" w:styleId="font21">
    <w:name w:val="font21"/>
    <w:basedOn w:val="a0"/>
    <w:qFormat/>
    <w:rsid w:val="00A6618C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9">
    <w:name w:val="List Paragraph"/>
    <w:basedOn w:val="a"/>
    <w:uiPriority w:val="34"/>
    <w:qFormat/>
    <w:rsid w:val="00A6618C"/>
    <w:pPr>
      <w:ind w:firstLineChars="200" w:firstLine="420"/>
    </w:pPr>
    <w:rPr>
      <w:szCs w:val="22"/>
    </w:rPr>
  </w:style>
  <w:style w:type="character" w:customStyle="1" w:styleId="font01">
    <w:name w:val="font01"/>
    <w:basedOn w:val="a0"/>
    <w:qFormat/>
    <w:rsid w:val="00A6618C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Char1">
    <w:name w:val="页眉 Char"/>
    <w:basedOn w:val="a0"/>
    <w:link w:val="a7"/>
    <w:qFormat/>
    <w:rsid w:val="00A6618C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sid w:val="00A6618C"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sid w:val="00A661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Microsoft</cp:lastModifiedBy>
  <cp:revision>8</cp:revision>
  <dcterms:created xsi:type="dcterms:W3CDTF">2018-08-01T09:47:00Z</dcterms:created>
  <dcterms:modified xsi:type="dcterms:W3CDTF">2019-12-16T03:38:00Z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