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8C" w:rsidRDefault="002C6390" w:rsidP="002C6390">
      <w:pPr>
        <w:pStyle w:val="2"/>
        <w:ind w:firstLineChars="0" w:firstLine="0"/>
      </w:pPr>
      <w:r>
        <w:rPr>
          <w:rFonts w:hint="eastAsia"/>
        </w:rPr>
        <w:t>附件：</w:t>
      </w:r>
    </w:p>
    <w:p w:rsidR="00A6618C" w:rsidRDefault="000C59D0" w:rsidP="00A47789">
      <w:pPr>
        <w:tabs>
          <w:tab w:val="left" w:pos="0"/>
        </w:tabs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项目清单、技术服务要求</w:t>
      </w:r>
      <w:bookmarkStart w:id="0" w:name="_GoBack"/>
      <w:bookmarkEnd w:id="0"/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040"/>
        <w:gridCol w:w="922"/>
        <w:gridCol w:w="1083"/>
        <w:gridCol w:w="5153"/>
        <w:gridCol w:w="616"/>
        <w:gridCol w:w="613"/>
      </w:tblGrid>
      <w:tr w:rsidR="00A6618C">
        <w:trPr>
          <w:trHeight w:val="48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  <w:p w:rsidR="00A6618C" w:rsidRDefault="000C59D0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922" w:type="dxa"/>
            <w:vAlign w:val="center"/>
          </w:tcPr>
          <w:p w:rsidR="00A6618C" w:rsidRDefault="002C63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推荐</w:t>
            </w:r>
            <w:r w:rsidR="000C59D0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品牌</w:t>
            </w:r>
          </w:p>
        </w:tc>
        <w:tc>
          <w:tcPr>
            <w:tcW w:w="1083" w:type="dxa"/>
            <w:vAlign w:val="center"/>
          </w:tcPr>
          <w:p w:rsidR="00A6618C" w:rsidRDefault="002C63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推荐</w:t>
            </w:r>
            <w:r w:rsidR="000C59D0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功能及技术要求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A6618C">
        <w:trPr>
          <w:trHeight w:val="508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P1.8全彩LED显示屏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pStyle w:val="2"/>
              <w:widowControl/>
              <w:ind w:firstLineChars="0" w:firstLine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利亚德</w:t>
            </w:r>
          </w:p>
        </w:tc>
        <w:tc>
          <w:tcPr>
            <w:tcW w:w="1083" w:type="dxa"/>
            <w:vAlign w:val="center"/>
          </w:tcPr>
          <w:p w:rsidR="00A6618C" w:rsidRDefault="000C59D0">
            <w:pPr>
              <w:pStyle w:val="2"/>
              <w:widowControl/>
              <w:ind w:firstLineChars="0" w:firstLine="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VED1.875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LED灯管：</w:t>
            </w:r>
            <w:r>
              <w:rPr>
                <w:rFonts w:ascii="宋体" w:hAnsi="宋体" w:hint="eastAsia"/>
                <w:szCs w:val="21"/>
              </w:rPr>
              <w:t>SMD表贴三合一黑灯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视角：水平视角≥160度，垂直视角≥160度。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精度：平整度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≤0.1mm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白平衡亮度：≥750cd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换帧频率：50&amp;60Hz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▲刷新率：≥3840Hz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hint="eastAsia"/>
                <w:kern w:val="0"/>
                <w:szCs w:val="21"/>
              </w:rPr>
              <w:t>需</w:t>
            </w:r>
            <w:r>
              <w:rPr>
                <w:rFonts w:ascii="宋体" w:hAnsi="宋体" w:hint="eastAsia"/>
                <w:szCs w:val="21"/>
              </w:rPr>
              <w:t>提供CMA、CNAS</w:t>
            </w:r>
            <w:r>
              <w:rPr>
                <w:rFonts w:ascii="宋体" w:hAnsi="宋体" w:hint="eastAsia"/>
                <w:color w:val="0C0C0C"/>
                <w:szCs w:val="21"/>
              </w:rPr>
              <w:t>认证标志的测试报告复印件</w:t>
            </w:r>
            <w:r>
              <w:rPr>
                <w:rFonts w:ascii="宋体" w:hAnsi="宋体" w:hint="eastAsia"/>
                <w:szCs w:val="21"/>
              </w:rPr>
              <w:t>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▲最大对比度：≥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10000:1。</w:t>
            </w:r>
            <w:r>
              <w:rPr>
                <w:rFonts w:ascii="宋体" w:hAnsi="宋体" w:hint="eastAsia"/>
                <w:kern w:val="0"/>
                <w:szCs w:val="21"/>
              </w:rPr>
              <w:t>需</w:t>
            </w:r>
            <w:r>
              <w:rPr>
                <w:rFonts w:ascii="宋体" w:hAnsi="宋体" w:hint="eastAsia"/>
                <w:szCs w:val="21"/>
              </w:rPr>
              <w:t>提供CMA、CNAS</w:t>
            </w:r>
            <w:r>
              <w:rPr>
                <w:rFonts w:ascii="宋体" w:hAnsi="宋体" w:hint="eastAsia"/>
                <w:color w:val="0C0C0C"/>
                <w:szCs w:val="21"/>
              </w:rPr>
              <w:t>认证标志的测试报告复印件</w:t>
            </w:r>
            <w:r>
              <w:rPr>
                <w:rFonts w:ascii="宋体" w:hAnsi="宋体" w:hint="eastAsia"/>
                <w:szCs w:val="21"/>
              </w:rPr>
              <w:t>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色温：2000k~15000k可调。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功耗：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功耗（W/㎡）峰值≤600，平均≤180。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亮度均匀度：</w:t>
            </w:r>
            <w:r>
              <w:rPr>
                <w:rFonts w:ascii="宋体" w:hAnsi="宋体" w:hint="eastAsia"/>
                <w:kern w:val="0"/>
                <w:szCs w:val="21"/>
              </w:rPr>
              <w:t>≥98.5%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色度均匀性：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色度均匀性（校正后）±0.003Cx,Cy之内。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发光点中心距偏差：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发光点中心距偏差：＜1%。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单点校正：具备单点校正功能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驱动方式：恒流驱动。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模组表面结构：带面罩设计，不反射环境光，对比度高，色彩柔和，LED显示屏安装有防眩光黑色面罩。需提供具备CNAS、CMA认证标识的第三方测试报告复印件，并加盖制造商公章。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软件亮、暗线功能：软件具备一键调节亮、暗线功能。需提供具备CNAS、CMA认证标识的第三方测试报告复印件，并加盖制造商公章。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电源系统：N+1冗余备份。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系统双备份：支持。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模组供电：4.5VDV。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智能节电：带有智能（黑屏）节电功能，开启智能节电功能比没有开启节能40%以上。需提供具备CNAS、CMA认证标识的第三方测试报告复印件，并加盖制造商公章。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图像处理：图像有降噪、增强、运动补偿、色坐标变换处理、钝化处理功能。</w:t>
            </w:r>
            <w:r>
              <w:rPr>
                <w:rFonts w:ascii="宋体" w:hAnsi="宋体" w:hint="eastAsia"/>
                <w:kern w:val="0"/>
                <w:szCs w:val="21"/>
              </w:rPr>
              <w:t>需</w:t>
            </w:r>
            <w:r>
              <w:rPr>
                <w:rFonts w:ascii="宋体" w:hAnsi="宋体" w:hint="eastAsia"/>
                <w:szCs w:val="21"/>
              </w:rPr>
              <w:t>提供CMA、CNAS</w:t>
            </w:r>
            <w:r>
              <w:rPr>
                <w:rFonts w:ascii="宋体" w:hAnsi="宋体" w:hint="eastAsia"/>
                <w:color w:val="0C0C0C"/>
                <w:szCs w:val="21"/>
              </w:rPr>
              <w:t>认证标志的测试报告复印件</w:t>
            </w:r>
            <w:r>
              <w:rPr>
                <w:rFonts w:ascii="宋体" w:hAnsi="宋体" w:hint="eastAsia"/>
                <w:szCs w:val="21"/>
              </w:rPr>
              <w:t>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热拔插功能：支持。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软件功能：LED显示屏可实时监控显示屏工作状态，具有故障自动告警功能，发生故障立即发消息到指定邮箱，及时处理；LED显示屏具有多点测温系统，均</w:t>
            </w:r>
            <w:r>
              <w:rPr>
                <w:rFonts w:ascii="宋体" w:hAnsi="宋体" w:hint="eastAsia"/>
                <w:szCs w:val="21"/>
              </w:rPr>
              <w:lastRenderedPageBreak/>
              <w:t>衡散 热，防止局部温度过高造成色彩漂移，并提高显示屏寿命；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LED显示屏具有电源温度控制系统，提供电源实时温度监控，超出设定温度自动报警，防止过温失效。需提供具备CNAS、CMA认证标识的第三方测试报告复印件，并加盖制造商公章。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LED显示屏图像质量：主观评价优。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寿命典型值：</w:t>
            </w:r>
            <w:r>
              <w:rPr>
                <w:rFonts w:ascii="宋体" w:hAnsi="宋体" w:hint="eastAsia"/>
                <w:kern w:val="0"/>
                <w:szCs w:val="21"/>
              </w:rPr>
              <w:t>≥10万小时。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稳定性：支持7*24H连续工作。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蓝光安全：无危害。需提供具备CNAS、CMA认证标识的第三方测试报告复印件，并加盖制造商公章。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高温、高湿工作：将受试样品放入40C, 80%RH环境中，通电工作 8h,再恢复到常温。试验中、试验后受试样品 外观结构和功能均应正常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高温、高湿存储：将受试样品放入60C, 85%RH环境中，通电工作 4h,再恢复到常温。试验中、试验后受试样品 外观结构和功能均应正常。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低温工作试验：将受试样品放入-30C环境中，通电工作8h, 再恢复到常温。试验中、试验后受试样品外观 结构和功能均应正常。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低温存储：将受试样品放入-40°C环境中，放置4h,再恢复到常温。试验前试验后受试样品外观结构和功能均应正常。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IP等级：显示屏符合IP6X要求。需提供具备CNAS、CMA认证标识的第三方测试报告复印件，并加盖制造商公章。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振动试验：试验环境：10~55HZ,振幅0.35mm，每一轴向循环扫频50次。无异常，试后正常工作。需提供具备CNAS、CMA认证标识的第三方测试报告复印件，并加盖制造商公章。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盐雾测试：产品符合盐雾10级标准。需提供具备CNAS、CMA认证标识的第三方测试报告复印件，并加盖制造商公章。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保护技术：显示屏具有防潮、防尘、防腐蚀、防电磁干扰、防静电功能，并具有过流、短路、过压、欠压保护等功能。需提供具备CNAS、CMA认证标识的第三方测试报告复印件，并加盖制造商公章。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工作噪音测试：显示屏1m处，前后噪音</w:t>
            </w:r>
            <w:r>
              <w:rPr>
                <w:rFonts w:ascii="Arial" w:hAnsi="Arial" w:cs="Arial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8dB（A）。需提供具备CNAS、CMA认证标识的第三方测试报告复印件，并加盖制造商公章。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盐雾测试：产品符合盐雾10级标准。需提供具备CNAS、CMA认证标识的第三方测试报告复印件，并加盖制造商公章。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阻燃试验：PCB阻燃等级达到V-0级，塑料面板</w:t>
            </w:r>
            <w:r>
              <w:rPr>
                <w:rFonts w:ascii="宋体" w:hAnsi="宋体" w:hint="eastAsia"/>
                <w:szCs w:val="21"/>
              </w:rPr>
              <w:lastRenderedPageBreak/>
              <w:t>等级达到V-0级。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电源端子骚扰电压（EMC）:符合GB/T9254-2008 Class B限制要求。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辐射骚扰（EMC）:符合GB/T9254-2008 Class B限制要求。需提供具备CNAS、CMA认证标识的第三方测试报告复印件，并加盖制造商公章。</w:t>
            </w:r>
          </w:p>
          <w:p w:rsidR="00A6618C" w:rsidRDefault="000C59D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color w:val="FF0000"/>
              </w:rPr>
              <w:t>采用精确色彩管理系统，通过校正减小屏体色差，增加屏体</w:t>
            </w:r>
            <w:proofErr w:type="gramStart"/>
            <w:r>
              <w:rPr>
                <w:rFonts w:ascii="宋体" w:hAnsi="宋体" w:hint="eastAsia"/>
                <w:color w:val="FF0000"/>
              </w:rPr>
              <w:t>整体色域范围</w:t>
            </w:r>
            <w:proofErr w:type="gramEnd"/>
            <w:r>
              <w:rPr>
                <w:rFonts w:ascii="宋体" w:hAnsi="宋体" w:hint="eastAsia"/>
                <w:color w:val="FF0000"/>
              </w:rPr>
              <w:t>，显示图像色彩更加丰富，具备单模块化校正技术，制造商持有国家计算机软件著作权登记证书，提供加盖制造商公章的证书复印件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Cs w:val="21"/>
              </w:rPr>
              <w:t>43</w:t>
            </w:r>
            <w:r>
              <w:rPr>
                <w:rFonts w:ascii="宋体" w:hAnsi="宋体" w:hint="eastAsia"/>
                <w:kern w:val="0"/>
                <w:szCs w:val="21"/>
              </w:rPr>
              <w:t>、▲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所投产品生产厂商须具有响应型号的3C认证（提供相关证书复印件加盖制造商公章）</w:t>
            </w:r>
          </w:p>
          <w:p w:rsidR="00A6618C" w:rsidRDefault="000C59D0">
            <w:pPr>
              <w:pStyle w:val="2"/>
              <w:widowControl/>
              <w:ind w:firstLineChars="0" w:firstLine="0"/>
              <w:jc w:val="left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/>
                <w:color w:val="FF0000"/>
                <w:kern w:val="0"/>
                <w:sz w:val="22"/>
                <w:szCs w:val="22"/>
              </w:rPr>
              <w:t>44</w:t>
            </w:r>
            <w:r>
              <w:rPr>
                <w:rFonts w:ascii="宋体" w:hAnsi="宋体" w:hint="eastAsia"/>
                <w:color w:val="FF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★提供针对本项目的原厂授权书及售后服务承诺函并加盖制造商公章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㎡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6.912</w:t>
            </w:r>
          </w:p>
        </w:tc>
      </w:tr>
      <w:tr w:rsidR="00A6618C">
        <w:trPr>
          <w:trHeight w:val="96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视频处理器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szCs w:val="22"/>
              </w:rPr>
              <w:t>唯奥</w:t>
            </w:r>
            <w:proofErr w:type="gramEnd"/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lvp615</w:t>
            </w:r>
          </w:p>
        </w:tc>
        <w:tc>
          <w:tcPr>
            <w:tcW w:w="5153" w:type="dxa"/>
            <w:vAlign w:val="center"/>
          </w:tcPr>
          <w:p w:rsidR="00A6618C" w:rsidRDefault="000C59D0">
            <w:r>
              <w:rPr>
                <w:rFonts w:ascii="宋体" w:hAnsi="宋体" w:cs="Arial"/>
                <w:sz w:val="22"/>
              </w:rPr>
              <w:t>1、便捷的面板按键操作，快捷的旋钮调整设置，</w:t>
            </w:r>
            <w:r>
              <w:rPr>
                <w:rFonts w:ascii="宋体" w:hAnsi="宋体" w:cs="Arial"/>
                <w:color w:val="FF0000"/>
                <w:sz w:val="22"/>
              </w:rPr>
              <w:t>完善的RS232串口协议，支持PC软件全部操控和设置；</w:t>
            </w:r>
            <w:r>
              <w:rPr>
                <w:rFonts w:ascii="宋体" w:hAnsi="宋体"/>
                <w:color w:val="FF0000"/>
                <w:sz w:val="22"/>
              </w:rPr>
              <w:t xml:space="preserve">PC软件为自主开发，可以提供软件著作权登记证书； </w:t>
            </w:r>
          </w:p>
          <w:p w:rsidR="00A6618C" w:rsidRDefault="000C59D0">
            <w:r>
              <w:rPr>
                <w:rFonts w:ascii="宋体" w:hAnsi="宋体" w:cs="Arial"/>
                <w:sz w:val="22"/>
              </w:rPr>
              <w:t>2、</w:t>
            </w:r>
            <w:r>
              <w:rPr>
                <w:rFonts w:ascii="宋体" w:hAnsi="宋体" w:cs="Arial"/>
                <w:color w:val="FF0000"/>
                <w:sz w:val="22"/>
              </w:rPr>
              <w:t>前面板旋钮、按键直接切换9路输入信号源，包括：</w:t>
            </w:r>
          </w:p>
          <w:p w:rsidR="00A6618C" w:rsidRDefault="000C59D0">
            <w:r>
              <w:rPr>
                <w:rFonts w:ascii="宋体" w:hAnsi="宋体" w:cs="Arial"/>
                <w:color w:val="FF0000"/>
                <w:sz w:val="22"/>
              </w:rPr>
              <w:t>2×CVBS</w:t>
            </w:r>
            <w:r>
              <w:tab/>
            </w:r>
            <w:r>
              <w:rPr>
                <w:rFonts w:ascii="宋体" w:hAnsi="宋体" w:cs="Arial"/>
                <w:color w:val="FF0000"/>
                <w:sz w:val="22"/>
              </w:rPr>
              <w:t xml:space="preserve">   1×DVI</w:t>
            </w:r>
            <w:r>
              <w:tab/>
            </w:r>
            <w:r>
              <w:tab/>
            </w:r>
            <w:r>
              <w:rPr>
                <w:rFonts w:ascii="宋体" w:hAnsi="宋体" w:cs="Arial"/>
                <w:color w:val="FF0000"/>
                <w:sz w:val="22"/>
              </w:rPr>
              <w:t>1×HDMI</w:t>
            </w:r>
            <w:r>
              <w:tab/>
            </w:r>
            <w:r>
              <w:rPr>
                <w:rFonts w:ascii="宋体" w:hAnsi="宋体" w:cs="Arial"/>
                <w:color w:val="FF0000"/>
                <w:sz w:val="22"/>
              </w:rPr>
              <w:t xml:space="preserve"> 2×VGA</w:t>
            </w:r>
            <w:r>
              <w:tab/>
            </w:r>
          </w:p>
          <w:p w:rsidR="00A6618C" w:rsidRDefault="000C59D0">
            <w:r>
              <w:rPr>
                <w:rFonts w:ascii="宋体" w:hAnsi="宋体" w:cs="Arial"/>
                <w:color w:val="FF0000"/>
                <w:sz w:val="22"/>
              </w:rPr>
              <w:t>1×YPbPr/ YCbCr</w:t>
            </w:r>
            <w:r>
              <w:tab/>
            </w:r>
            <w:r>
              <w:tab/>
            </w:r>
            <w:r>
              <w:tab/>
            </w:r>
            <w:r>
              <w:rPr>
                <w:rFonts w:ascii="宋体" w:hAnsi="宋体" w:cs="Arial"/>
                <w:color w:val="FF0000"/>
                <w:sz w:val="22"/>
              </w:rPr>
              <w:t xml:space="preserve">1×DP  </w:t>
            </w:r>
          </w:p>
          <w:p w:rsidR="00A6618C" w:rsidRDefault="000C59D0">
            <w:r>
              <w:rPr>
                <w:rFonts w:ascii="宋体" w:hAnsi="宋体" w:cs="Arial"/>
                <w:color w:val="FF0000"/>
                <w:sz w:val="22"/>
              </w:rPr>
              <w:t>1×EXT.( 扩展模块,可选为VIDEO或1×SDI/HD-SDI或1×VGA/DVI/HDMI）；</w:t>
            </w:r>
          </w:p>
          <w:p w:rsidR="00A6618C" w:rsidRDefault="000C59D0">
            <w:pPr>
              <w:rPr>
                <w:rFonts w:ascii="宋体" w:hAnsi="宋体" w:cs="Arial"/>
                <w:color w:val="FF0000"/>
                <w:sz w:val="22"/>
              </w:rPr>
            </w:pPr>
            <w:r>
              <w:rPr>
                <w:rFonts w:ascii="宋体" w:hAnsi="宋体" w:cs="Arial"/>
                <w:sz w:val="22"/>
              </w:rPr>
              <w:t>3、</w:t>
            </w:r>
            <w:r>
              <w:rPr>
                <w:rFonts w:ascii="宋体" w:hAnsi="宋体" w:cs="Arial"/>
                <w:color w:val="FF0000"/>
                <w:sz w:val="22"/>
              </w:rPr>
              <w:t>2路可配置外接立体声音频，加DP、HDMI和SDI音频共5路音频同步切换；</w:t>
            </w:r>
          </w:p>
          <w:p w:rsidR="00A6618C" w:rsidRDefault="000C59D0">
            <w:pPr>
              <w:rPr>
                <w:rFonts w:ascii="宋体" w:hAnsi="宋体" w:cs="Arial"/>
                <w:sz w:val="22"/>
              </w:rPr>
            </w:pPr>
            <w:r>
              <w:rPr>
                <w:rFonts w:ascii="宋体" w:hAnsi="宋体" w:cs="Arial"/>
                <w:sz w:val="22"/>
              </w:rPr>
              <w:t>4、信号切换方式，可以根据需要，选择一键直接切换，或者选择“预选+Take切换”， “预选+Take切换”的功能可以实现信号之间的快速切换，真正</w:t>
            </w:r>
            <w:proofErr w:type="gramStart"/>
            <w:r>
              <w:rPr>
                <w:rFonts w:ascii="宋体" w:hAnsi="宋体" w:cs="Arial"/>
                <w:sz w:val="22"/>
              </w:rPr>
              <w:t>达到秒切的</w:t>
            </w:r>
            <w:proofErr w:type="gramEnd"/>
            <w:r>
              <w:rPr>
                <w:rFonts w:ascii="宋体" w:hAnsi="宋体" w:cs="Arial"/>
                <w:sz w:val="22"/>
              </w:rPr>
              <w:t>效果，有效的解决了信号切换延时的问题；</w:t>
            </w:r>
          </w:p>
          <w:p w:rsidR="00A6618C" w:rsidRDefault="000C59D0">
            <w:r>
              <w:rPr>
                <w:rFonts w:ascii="宋体" w:hAnsi="宋体" w:cs="Arial"/>
                <w:color w:val="FF0000"/>
                <w:sz w:val="22"/>
              </w:rPr>
              <w:t>5</w:t>
            </w:r>
            <w:r>
              <w:rPr>
                <w:rFonts w:ascii="宋体" w:hAnsi="宋体" w:cs="Arial" w:hint="eastAsia"/>
                <w:color w:val="FF0000"/>
                <w:sz w:val="22"/>
              </w:rPr>
              <w:t>、</w:t>
            </w:r>
            <w:r>
              <w:rPr>
                <w:rFonts w:ascii="宋体" w:hAnsi="宋体" w:cs="Arial"/>
                <w:color w:val="FF0000"/>
                <w:sz w:val="22"/>
              </w:rPr>
              <w:t>支持面板按键、红外遥控、PC软件、WIFI控制、局域网控制，控制方式多样且方便；</w:t>
            </w:r>
          </w:p>
          <w:p w:rsidR="00A6618C" w:rsidRDefault="00A6618C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</w:tr>
      <w:tr w:rsidR="00A6618C">
        <w:trPr>
          <w:trHeight w:val="48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40" w:type="dxa"/>
            <w:vAlign w:val="center"/>
          </w:tcPr>
          <w:p w:rsidR="00A6618C" w:rsidRDefault="00A6618C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综合播控系统软件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利亚德</w:t>
            </w:r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领秀综合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播控系统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功能性要求：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（1）系统能将多类型信号源输入多视频控制器并在显示设备上显示（信号源包括VGA、DVI、HDMI、DP、BNC、SDI、DL-DVI、IP、HDBaseT、光纤等）的功能。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（2）系统具备接入并在显示设备上显示4K分辨信号源的功能。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（3）系统具备对输入信号源进行预监视，实现在播放前预先查看的功能。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（4）系统具备对信号源、多视频控制器、传输线路、LED显示屏等多层级</w:t>
            </w:r>
            <w:proofErr w:type="gramStart"/>
            <w:r>
              <w:rPr>
                <w:rFonts w:ascii="宋体" w:hAnsi="宋体" w:hint="eastAsia"/>
                <w:kern w:val="0"/>
                <w:sz w:val="22"/>
                <w:szCs w:val="22"/>
              </w:rPr>
              <w:t>进行热备的</w:t>
            </w:r>
            <w:proofErr w:type="gramEnd"/>
            <w:r>
              <w:rPr>
                <w:rFonts w:ascii="宋体" w:hAnsi="宋体" w:hint="eastAsia"/>
                <w:kern w:val="0"/>
                <w:sz w:val="22"/>
                <w:szCs w:val="22"/>
              </w:rPr>
              <w:t>功能。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2、可靠性要求：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（1）软件在运行过程中不应陷入用户无法控制的状态，既不应崩溃也不应丢失数据。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（2）软件可提供差错处置功能，保证不会导致系统异常退出。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（3）软件应识别违反句法条件的输入，并且不应该作为许可的输入加以处理。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3、易用性要求：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（1）对具有严重后果的功能的执行应是可逆的，或者软件应给出这种后果的明显警告，并且在这种命令执行前要求确认。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（2）借助用户接口、帮助功能或用户文档集提供的手段，最终用户应能够学习如何使用某一功能。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（3）每一元素（数据媒体、文件灯）均应带有产品标识，如果有两种以上的元素，则应附上标识号或标识文字。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4、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避免协议冲突，LED显示屏与综合播控软件均属于同一品牌自主研发平台生产，需提供大屏幕系统投标厂家具有的计算机软件著作权登记证书与</w:t>
            </w:r>
            <w:proofErr w:type="gramStart"/>
            <w:r>
              <w:rPr>
                <w:rFonts w:ascii="宋体" w:hAnsi="宋体" w:hint="eastAsia"/>
                <w:kern w:val="0"/>
                <w:sz w:val="22"/>
                <w:szCs w:val="22"/>
              </w:rPr>
              <w:t>扫描件并加盖</w:t>
            </w:r>
            <w:proofErr w:type="gramEnd"/>
            <w:r>
              <w:rPr>
                <w:rFonts w:ascii="宋体" w:hAnsi="宋体" w:hint="eastAsia"/>
                <w:kern w:val="0"/>
                <w:sz w:val="22"/>
                <w:szCs w:val="22"/>
              </w:rPr>
              <w:t>制造商公章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5、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软件产品制造商系统软件能力成熟度通过CMMI三级及以上认证，提供加盖制造商公章的相关证书复印件。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6、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color w:val="FF0000"/>
                <w:sz w:val="22"/>
                <w:szCs w:val="22"/>
              </w:rPr>
              <w:t>软件可将各类型的显示资源进行网络数据化，使各类型数据以更加直观的方式展现出来，具有大数据可视化综合应用平台测试报告及软件著作权证书（提供相关检测报告复印件及软件著作权证书）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套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1</w:t>
            </w:r>
          </w:p>
        </w:tc>
      </w:tr>
      <w:tr w:rsidR="00A6618C">
        <w:trPr>
          <w:trHeight w:val="425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LED显示屏控制系统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利亚德</w:t>
            </w:r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/>
                <w:kern w:val="0"/>
                <w:sz w:val="22"/>
                <w:szCs w:val="22"/>
              </w:rPr>
              <w:t>精显时代</w:t>
            </w:r>
            <w:proofErr w:type="gramEnd"/>
            <w:r>
              <w:rPr>
                <w:rFonts w:ascii="宋体" w:hAnsi="宋体"/>
                <w:kern w:val="0"/>
                <w:sz w:val="22"/>
                <w:szCs w:val="22"/>
              </w:rPr>
              <w:t>Ⅲ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大于等于一路音频输入，大于等于一路HDMI高清视频输入；大于等于一路DVI视频输入；一路光探头接口。</w:t>
            </w:r>
          </w:p>
          <w:p w:rsidR="00A6618C" w:rsidRDefault="000C59D0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大于等于四个网口输出或四路光纤输出。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、DVI视频输出，用于级联或者监视。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、RS232或USB接口控制，可级联多台统一控制</w:t>
            </w:r>
          </w:p>
          <w:p w:rsidR="00A6618C" w:rsidRDefault="000C59D0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最大带载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分辨率2048*1152或1920*1200。</w:t>
            </w:r>
          </w:p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避免协议冲突，LED显示屏与LED控制系统均属于同一品牌自主研发平台生产，LED控制系统为自主研发，提供加盖制造商公章的LED控制系统的国家著作权证书。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1</w:t>
            </w:r>
          </w:p>
        </w:tc>
      </w:tr>
      <w:tr w:rsidR="00A6618C">
        <w:trPr>
          <w:trHeight w:val="465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PLC智能配电系统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利亚德</w:t>
            </w:r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1、配电柜按照标准网络机房供电标准设计安装供电；进线为三相五线制供电。</w:t>
            </w:r>
          </w:p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2、配电柜按照标准网络机房供电标准设计安装供电，配电柜内装有0B0电</w:t>
            </w:r>
            <w:proofErr w:type="gramStart"/>
            <w:r>
              <w:rPr>
                <w:rFonts w:ascii="宋体" w:hAnsi="宋体" w:hint="eastAsia"/>
                <w:kern w:val="0"/>
                <w:sz w:val="22"/>
                <w:szCs w:val="22"/>
              </w:rPr>
              <w:t>涌保护装</w:t>
            </w:r>
            <w:proofErr w:type="gramEnd"/>
            <w:r>
              <w:rPr>
                <w:rFonts w:ascii="宋体" w:hAnsi="宋体" w:hint="eastAsia"/>
                <w:kern w:val="0"/>
                <w:sz w:val="22"/>
                <w:szCs w:val="22"/>
              </w:rPr>
              <w:t>罝、漏电保护开关、空气开关、熔断器、延时启动接触器等，配电柜门上还装有旋钮开关和指示灯等，具有防静电、抗志动、防电磁干扰等功能，具有电源过压、过流、断电保护、分布上电功能。配电柜内主令开关均选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用国际一流品牌器件</w:t>
            </w:r>
          </w:p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3、温度监控：支持实时温度显示，自动状态下，当屏体内温度超过65度时，监控画面将提示温度过髙，同时计算机发出报警声，系统将自动断电，以防发生火灾</w:t>
            </w:r>
          </w:p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4、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避免协议冲突，LED显示屏与智能配电系统均属于同一品牌自主研发平台生产；制造商具备PLC智能系统软件的软件著作权证书及配电柜3C认证证书，提供证书复印件并加盖制造商公章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套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</w:tr>
      <w:tr w:rsidR="00A6618C">
        <w:trPr>
          <w:trHeight w:val="38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配套钢结构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利亚德</w:t>
            </w:r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定制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1、采用模块化安装结构，屏体安装结构架采用配套钢结构，外边框采用不锈钢包边，与装修融为一体。</w:t>
            </w:r>
          </w:p>
          <w:p w:rsidR="00A6618C" w:rsidRDefault="000C59D0"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2、</w:t>
            </w:r>
            <w:r>
              <w:rPr>
                <w:rFonts w:ascii="宋体" w:hAnsi="宋体" w:hint="eastAsia"/>
                <w:kern w:val="0"/>
                <w:szCs w:val="21"/>
              </w:rPr>
              <w:t>▲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大屏制造商或供应商具有钢结构工程专业资质证书，提供相关证书复印件加盖制造商公章。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1</w:t>
            </w:r>
          </w:p>
        </w:tc>
      </w:tr>
      <w:tr w:rsidR="00A6618C">
        <w:trPr>
          <w:trHeight w:val="38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380V主电缆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龙腾红旗</w:t>
            </w:r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5*6平方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取电室到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屏体配电柜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</w:tr>
      <w:tr w:rsidR="00A6618C">
        <w:trPr>
          <w:trHeight w:val="38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220V主电缆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龙腾红旗</w:t>
            </w:r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3*4平方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配电柜到屏体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 w:rsidR="00A6618C">
        <w:trPr>
          <w:trHeight w:val="38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主信号线</w:t>
            </w:r>
          </w:p>
        </w:tc>
        <w:tc>
          <w:tcPr>
            <w:tcW w:w="922" w:type="dxa"/>
            <w:vAlign w:val="center"/>
          </w:tcPr>
          <w:p w:rsidR="00A6618C" w:rsidRDefault="000C59D0">
            <w:pPr>
              <w:widowControl/>
              <w:ind w:firstLine="458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安普</w:t>
            </w:r>
            <w:proofErr w:type="gramEnd"/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六类非屏蔽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从控制室到屏体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A6618C">
        <w:trPr>
          <w:trHeight w:val="380"/>
          <w:jc w:val="center"/>
        </w:trPr>
        <w:tc>
          <w:tcPr>
            <w:tcW w:w="486" w:type="dxa"/>
            <w:shd w:val="clear" w:color="auto" w:fill="FFFFFF"/>
            <w:vAlign w:val="center"/>
          </w:tcPr>
          <w:p w:rsidR="00A6618C" w:rsidRDefault="000C59D0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40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备品配件</w:t>
            </w:r>
          </w:p>
        </w:tc>
        <w:tc>
          <w:tcPr>
            <w:tcW w:w="922" w:type="dxa"/>
            <w:vAlign w:val="center"/>
          </w:tcPr>
          <w:p w:rsidR="00A6618C" w:rsidRDefault="00A6618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利亚德</w:t>
            </w:r>
          </w:p>
        </w:tc>
        <w:tc>
          <w:tcPr>
            <w:tcW w:w="5153" w:type="dxa"/>
            <w:vAlign w:val="center"/>
          </w:tcPr>
          <w:p w:rsidR="00A6618C" w:rsidRDefault="000C59D0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2块单元板，2块电源，2块接收卡，通讯线10根</w:t>
            </w:r>
          </w:p>
        </w:tc>
        <w:tc>
          <w:tcPr>
            <w:tcW w:w="616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613" w:type="dxa"/>
            <w:vAlign w:val="center"/>
          </w:tcPr>
          <w:p w:rsidR="00A6618C" w:rsidRDefault="000C59D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</w:tbl>
    <w:p w:rsidR="00A6618C" w:rsidRDefault="00A6618C">
      <w:pPr>
        <w:pStyle w:val="2"/>
        <w:ind w:firstLineChars="0" w:firstLine="0"/>
        <w:rPr>
          <w:rFonts w:ascii="宋体" w:hAnsi="宋体"/>
          <w:color w:val="FF0000"/>
          <w:sz w:val="21"/>
          <w:szCs w:val="21"/>
        </w:rPr>
      </w:pPr>
    </w:p>
    <w:p w:rsidR="00A6618C" w:rsidRDefault="000C59D0">
      <w:pPr>
        <w:pStyle w:val="2"/>
        <w:ind w:firstLineChars="0" w:firstLine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color w:val="FF0000"/>
          <w:sz w:val="21"/>
          <w:szCs w:val="21"/>
        </w:rPr>
        <w:t>要求：</w:t>
      </w:r>
      <w:r>
        <w:rPr>
          <w:rFonts w:ascii="宋体" w:hAnsi="宋体"/>
          <w:b/>
          <w:bCs/>
          <w:color w:val="FF0000"/>
          <w:sz w:val="21"/>
          <w:szCs w:val="21"/>
        </w:rPr>
        <w:t>其中技术参数要求中所标的“</w:t>
      </w:r>
      <w:r>
        <w:rPr>
          <w:rFonts w:ascii="宋体" w:hAnsi="宋体"/>
          <w:b/>
          <w:bCs/>
          <w:color w:val="FF0000"/>
          <w:kern w:val="0"/>
          <w:sz w:val="21"/>
          <w:szCs w:val="21"/>
        </w:rPr>
        <w:t>▲</w:t>
      </w:r>
      <w:r>
        <w:rPr>
          <w:rFonts w:ascii="宋体" w:hAnsi="宋体"/>
          <w:b/>
          <w:bCs/>
          <w:color w:val="FF0000"/>
          <w:sz w:val="21"/>
          <w:szCs w:val="21"/>
        </w:rPr>
        <w:t>”号条款为</w:t>
      </w:r>
      <w:r>
        <w:rPr>
          <w:rFonts w:ascii="宋体" w:hAnsi="宋体" w:hint="eastAsia"/>
          <w:b/>
          <w:bCs/>
          <w:color w:val="FF0000"/>
          <w:sz w:val="21"/>
          <w:szCs w:val="21"/>
        </w:rPr>
        <w:t>重要技术</w:t>
      </w:r>
      <w:r>
        <w:rPr>
          <w:rFonts w:ascii="宋体" w:hAnsi="宋体"/>
          <w:b/>
          <w:bCs/>
          <w:color w:val="FF0000"/>
          <w:sz w:val="21"/>
          <w:szCs w:val="21"/>
        </w:rPr>
        <w:t>条款，</w:t>
      </w:r>
      <w:r>
        <w:rPr>
          <w:rFonts w:ascii="宋体" w:hAnsi="宋体"/>
          <w:b/>
          <w:bCs/>
          <w:color w:val="FF0000"/>
          <w:kern w:val="0"/>
          <w:sz w:val="21"/>
          <w:szCs w:val="21"/>
        </w:rPr>
        <w:t>▲</w:t>
      </w:r>
      <w:proofErr w:type="gramStart"/>
      <w:r>
        <w:rPr>
          <w:rFonts w:ascii="宋体" w:hAnsi="宋体" w:hint="eastAsia"/>
          <w:b/>
          <w:bCs/>
          <w:color w:val="FF0000"/>
          <w:kern w:val="0"/>
          <w:sz w:val="21"/>
          <w:szCs w:val="21"/>
        </w:rPr>
        <w:t>号条款项</w:t>
      </w:r>
      <w:proofErr w:type="gramEnd"/>
      <w:r>
        <w:rPr>
          <w:rFonts w:ascii="宋体" w:hAnsi="宋体" w:hint="eastAsia"/>
          <w:b/>
          <w:bCs/>
          <w:color w:val="FF0000"/>
          <w:kern w:val="0"/>
          <w:sz w:val="21"/>
          <w:szCs w:val="21"/>
        </w:rPr>
        <w:t>需提供相应资质证书，如</w:t>
      </w:r>
      <w:r>
        <w:rPr>
          <w:rFonts w:ascii="宋体" w:hAnsi="宋体"/>
          <w:b/>
          <w:bCs/>
          <w:color w:val="FF0000"/>
          <w:sz w:val="21"/>
          <w:szCs w:val="21"/>
        </w:rPr>
        <w:t>未实质性响应招标文件，作无效投标处理；（须按参数要求提供相关证明材料）。</w:t>
      </w:r>
    </w:p>
    <w:p w:rsidR="00A6618C" w:rsidRPr="00A47789" w:rsidRDefault="00A6618C">
      <w:pPr>
        <w:rPr>
          <w:rFonts w:ascii="宋体" w:hAnsi="宋体"/>
          <w:b/>
          <w:bCs/>
          <w:sz w:val="24"/>
        </w:rPr>
      </w:pPr>
    </w:p>
    <w:sectPr w:rsidR="00A6618C" w:rsidRPr="00A47789" w:rsidSect="00A6618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D2" w:rsidRDefault="00772DD2" w:rsidP="00A6618C">
      <w:r>
        <w:separator/>
      </w:r>
    </w:p>
  </w:endnote>
  <w:endnote w:type="continuationSeparator" w:id="0">
    <w:p w:rsidR="00772DD2" w:rsidRDefault="00772DD2" w:rsidP="00A66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8C" w:rsidRDefault="00A6618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D2" w:rsidRDefault="00772DD2" w:rsidP="00A6618C">
      <w:r>
        <w:separator/>
      </w:r>
    </w:p>
  </w:footnote>
  <w:footnote w:type="continuationSeparator" w:id="0">
    <w:p w:rsidR="00772DD2" w:rsidRDefault="00772DD2" w:rsidP="00A66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8C" w:rsidRDefault="00A6618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00000007"/>
    <w:multiLevelType w:val="singleLevel"/>
    <w:tmpl w:val="00000007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618C"/>
    <w:rsid w:val="000C59D0"/>
    <w:rsid w:val="002C6390"/>
    <w:rsid w:val="006872A5"/>
    <w:rsid w:val="00772DD2"/>
    <w:rsid w:val="00A47789"/>
    <w:rsid w:val="00A6618C"/>
    <w:rsid w:val="4427758B"/>
    <w:rsid w:val="7A2C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qFormat="1"/>
    <w:lsdException w:name="toc 2" w:qFormat="1"/>
    <w:lsdException w:name="toc 3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6618C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0">
    <w:name w:val="heading 2"/>
    <w:basedOn w:val="a"/>
    <w:next w:val="a"/>
    <w:qFormat/>
    <w:rsid w:val="00A6618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A6618C"/>
    <w:pPr>
      <w:keepNext/>
      <w:numPr>
        <w:ilvl w:val="2"/>
        <w:numId w:val="1"/>
      </w:numPr>
      <w:spacing w:beforeLines="50" w:afterLines="50" w:line="400" w:lineRule="exact"/>
      <w:contextualSpacing/>
      <w:outlineLvl w:val="2"/>
    </w:pPr>
    <w:rPr>
      <w:rFonts w:ascii="宋体" w:hAnsi="宋体"/>
      <w:b/>
      <w:b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rsid w:val="00A6618C"/>
    <w:pPr>
      <w:ind w:firstLineChars="200" w:firstLine="579"/>
    </w:pPr>
    <w:rPr>
      <w:sz w:val="28"/>
      <w:szCs w:val="20"/>
    </w:rPr>
  </w:style>
  <w:style w:type="paragraph" w:styleId="a3">
    <w:name w:val="annotation text"/>
    <w:basedOn w:val="a"/>
    <w:qFormat/>
    <w:rsid w:val="00A6618C"/>
    <w:pPr>
      <w:jc w:val="left"/>
    </w:pPr>
  </w:style>
  <w:style w:type="paragraph" w:styleId="a4">
    <w:name w:val="Body Text Indent"/>
    <w:basedOn w:val="a"/>
    <w:qFormat/>
    <w:rsid w:val="00A6618C"/>
    <w:pPr>
      <w:autoSpaceDE w:val="0"/>
      <w:autoSpaceDN w:val="0"/>
      <w:adjustRightInd w:val="0"/>
      <w:spacing w:line="360" w:lineRule="auto"/>
      <w:ind w:firstLine="480"/>
      <w:jc w:val="left"/>
      <w:textAlignment w:val="baseline"/>
    </w:pPr>
    <w:rPr>
      <w:kern w:val="0"/>
      <w:sz w:val="24"/>
    </w:rPr>
  </w:style>
  <w:style w:type="paragraph" w:styleId="a5">
    <w:name w:val="Balloon Text"/>
    <w:basedOn w:val="a"/>
    <w:link w:val="Char"/>
    <w:qFormat/>
    <w:rsid w:val="00A6618C"/>
    <w:rPr>
      <w:sz w:val="18"/>
      <w:szCs w:val="18"/>
    </w:rPr>
  </w:style>
  <w:style w:type="paragraph" w:styleId="a6">
    <w:name w:val="footer"/>
    <w:basedOn w:val="a"/>
    <w:link w:val="Char0"/>
    <w:qFormat/>
    <w:rsid w:val="00A66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A66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A6618C"/>
    <w:pPr>
      <w:widowControl/>
      <w:spacing w:before="100" w:beforeAutospacing="1" w:after="100" w:afterAutospacing="1"/>
      <w:ind w:firstLineChars="200" w:firstLine="480"/>
      <w:jc w:val="left"/>
    </w:pPr>
    <w:rPr>
      <w:rFonts w:ascii="宋体" w:eastAsia="黑体" w:hAnsi="宋体"/>
      <w:kern w:val="0"/>
      <w:sz w:val="24"/>
    </w:rPr>
  </w:style>
  <w:style w:type="character" w:customStyle="1" w:styleId="font21">
    <w:name w:val="font21"/>
    <w:basedOn w:val="a0"/>
    <w:qFormat/>
    <w:rsid w:val="00A6618C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9">
    <w:name w:val="List Paragraph"/>
    <w:basedOn w:val="a"/>
    <w:uiPriority w:val="34"/>
    <w:qFormat/>
    <w:rsid w:val="00A6618C"/>
    <w:pPr>
      <w:ind w:firstLineChars="200" w:firstLine="420"/>
    </w:pPr>
    <w:rPr>
      <w:szCs w:val="22"/>
    </w:rPr>
  </w:style>
  <w:style w:type="character" w:customStyle="1" w:styleId="font01">
    <w:name w:val="font01"/>
    <w:basedOn w:val="a0"/>
    <w:qFormat/>
    <w:rsid w:val="00A6618C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Char1">
    <w:name w:val="页眉 Char"/>
    <w:basedOn w:val="a0"/>
    <w:link w:val="a7"/>
    <w:qFormat/>
    <w:rsid w:val="00A6618C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sid w:val="00A6618C"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sid w:val="00A661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616</Words>
  <Characters>3517</Characters>
  <Application>Microsoft Office Word</Application>
  <DocSecurity>0</DocSecurity>
  <Lines>29</Lines>
  <Paragraphs>8</Paragraphs>
  <ScaleCrop>false</ScaleCrop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Microsoft</cp:lastModifiedBy>
  <cp:revision>7</cp:revision>
  <dcterms:created xsi:type="dcterms:W3CDTF">2018-08-01T09:47:00Z</dcterms:created>
  <dcterms:modified xsi:type="dcterms:W3CDTF">2019-12-16T03:39:00Z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