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54" w:firstLineChars="1143"/>
        <w:jc w:val="both"/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技术要求</w:t>
      </w:r>
    </w:p>
    <w:p>
      <w:pPr>
        <w:ind w:firstLine="2754" w:firstLineChars="1143"/>
        <w:jc w:val="both"/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</w:p>
    <w:p>
      <w:pPr>
        <w:ind w:left="360" w:hanging="315" w:hangingChars="1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1：高清视频监控系统，通过高清视频车辆检测终端对每个车位进行视频监控，对停车场环境进行全覆盖监控，并将视频信号进行存储，存储时间≥30天。 </w:t>
      </w:r>
    </w:p>
    <w:p>
      <w:pPr>
        <w:ind w:left="360" w:hanging="315" w:hangingChars="150"/>
        <w:rPr>
          <w:rFonts w:hint="default" w:asciiTheme="minorAscii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2：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主要产品须提供公安部检测报告并加盖厂家公章。★</w:t>
      </w: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为必须满足项并提供公安部检测报告。</w:t>
      </w:r>
    </w:p>
    <w:p>
      <w:pPr>
        <w:rPr>
          <w:rFonts w:hint="default" w:asciiTheme="minorAscii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3：车位相机的视频图像需能接入到医院智能停车系统中。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4：供货一览表如下：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2637"/>
        <w:gridCol w:w="1164"/>
        <w:gridCol w:w="1165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6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一、停车场监控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3车位相机-高清视频车辆检测终端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6车位相机-高清视频车辆检测终端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枪形摄像机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摄像机电源及支架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接入17路视频信号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6T硬盘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21.5"显示器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二、工程线缆基础土建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钢式桥架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桥架配件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三、项目建设合计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设备款合计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运输、安装、集成服务费用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增值税金额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工程总价款（含税）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 xml:space="preserve"> 以下是具体设备要求：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一：车位相机-高清视频车辆检测终端</w:t>
      </w:r>
    </w:p>
    <w:p>
      <w:pPr>
        <w:pStyle w:val="2"/>
        <w:rPr>
          <w:rFonts w:hint="default" w:eastAsiaTheme="majorEastAsia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856"/>
        <w:gridCol w:w="4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34" w:type="dxa"/>
            <w:shd w:val="clear" w:color="auto" w:fill="D9D9D9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47" w:lineRule="exact"/>
              <w:ind w:left="103" w:leftChars="0" w:right="0" w:hanging="103" w:hangingChars="47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参数</w:t>
            </w:r>
          </w:p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47" w:lineRule="exact"/>
              <w:ind w:left="103" w:leftChars="0" w:right="0" w:hanging="103" w:hangingChars="47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分类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11"/>
              <w:keepNext w:val="0"/>
              <w:keepLines w:val="0"/>
              <w:suppressLineNumbers w:val="0"/>
              <w:spacing w:before="123" w:beforeAutospacing="0" w:after="0" w:afterAutospacing="0"/>
              <w:ind w:left="105" w:leftChars="0" w:right="0" w:hanging="105" w:hangingChars="48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参数名称</w:t>
            </w:r>
          </w:p>
        </w:tc>
        <w:tc>
          <w:tcPr>
            <w:tcW w:w="4388" w:type="dxa"/>
            <w:shd w:val="clear" w:color="auto" w:fill="D9D9D9"/>
          </w:tcPr>
          <w:p>
            <w:pPr>
              <w:pStyle w:val="11"/>
              <w:keepNext w:val="0"/>
              <w:keepLines w:val="0"/>
              <w:suppressLineNumbers w:val="0"/>
              <w:spacing w:before="123" w:beforeAutospacing="0" w:after="0" w:afterAutospacing="0"/>
              <w:ind w:left="169" w:leftChars="0" w:right="298" w:rightChars="0" w:hanging="169" w:hangingChars="77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2"/>
                <w:lang w:val="en-US" w:eastAsia="zh-CN"/>
              </w:rPr>
              <w:t>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常规参数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供电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标准是DC12V，范围12-20VDC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功耗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&lt;5W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9" w:lineRule="exact"/>
              <w:ind w:left="0" w:leftChars="0" w:right="0" w:firstLine="220" w:firstLineChars="100"/>
              <w:jc w:val="both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工作温度</w:t>
            </w:r>
          </w:p>
        </w:tc>
        <w:tc>
          <w:tcPr>
            <w:tcW w:w="4388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3" w:beforeAutospacing="0" w:after="0" w:afterAutospacing="0"/>
              <w:ind w:left="107" w:leftChars="0" w:right="0" w:firstLine="440" w:firstLineChars="200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-20℃-+60℃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工作湿度</w:t>
            </w:r>
          </w:p>
        </w:tc>
        <w:tc>
          <w:tcPr>
            <w:tcW w:w="4388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107" w:leftChars="0" w:right="0" w:firstLine="440" w:firstLineChars="200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10%-90%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166" w:beforeAutospacing="0" w:after="0" w:afterAutospacing="0"/>
              <w:ind w:left="0" w:leftChars="0" w:right="0" w:firstLine="220" w:firstLineChars="100"/>
              <w:jc w:val="both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尺寸</w:t>
            </w:r>
          </w:p>
        </w:tc>
        <w:tc>
          <w:tcPr>
            <w:tcW w:w="4388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45" w:lineRule="exact"/>
              <w:ind w:right="0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2"/>
              </w:rPr>
              <w:t>单镜头φ129.6mm×123.5mm</w:t>
            </w:r>
          </w:p>
          <w:p>
            <w:pPr>
              <w:pStyle w:val="11"/>
              <w:keepNext w:val="0"/>
              <w:keepLines w:val="0"/>
              <w:suppressLineNumbers w:val="0"/>
              <w:spacing w:before="112" w:beforeAutospacing="0" w:after="0" w:afterAutospacing="0"/>
              <w:ind w:left="107" w:leftChars="0" w:right="0" w:firstLine="436" w:firstLineChars="200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2"/>
              </w:rPr>
              <w:t>双镜头φ129.6mm×115.5mm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</w:p>
        </w:tc>
        <w:tc>
          <w:tcPr>
            <w:tcW w:w="1856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传感器类型</w:t>
            </w:r>
          </w:p>
        </w:tc>
        <w:tc>
          <w:tcPr>
            <w:tcW w:w="4388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107" w:leftChars="0" w:right="0"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1/2.7英寸CMOS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7" w:lineRule="exact"/>
              <w:ind w:left="0" w:leftChars="0" w:right="113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</w:p>
        </w:tc>
        <w:tc>
          <w:tcPr>
            <w:tcW w:w="1856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default" w:ascii="思源黑体 CN Medium" w:eastAsia="思源黑体 CN Medium"/>
                <w:b w:val="0"/>
                <w:sz w:val="22"/>
                <w:lang w:val="en-US" w:eastAsia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  <w:lang w:val="en-US" w:eastAsia="zh-CN"/>
              </w:rPr>
              <w:t>无牌车识别</w:t>
            </w:r>
          </w:p>
        </w:tc>
        <w:tc>
          <w:tcPr>
            <w:tcW w:w="4388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96" w:leftChars="0" w:right="0" w:hanging="96" w:hangingChars="44"/>
              <w:jc w:val="left"/>
              <w:rPr>
                <w:rFonts w:hint="default" w:ascii="微软雅黑" w:hAnsi="微软雅黑" w:eastAsia="宋体" w:cs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="微软雅黑" w:hAnsi="微软雅黑" w:cs="微软雅黑"/>
                <w:sz w:val="22"/>
                <w:lang w:val="en-US" w:eastAsia="zh-CN"/>
              </w:rPr>
              <w:t>支持无牌车识别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9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  <w:t>抓拍功能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3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支持自动或者手动抓拍车牌号或者当前视频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  <w:t>录像功能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支持当前画面录像并存储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  <w:t>专位专车报警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专位绑定专车，如不符合，系统自动后台报警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  <w:t>蓝牙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微软雅黑" w:asciiTheme="minorEastAsia" w:hAnsi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eastAsia="微软雅黑" w:asciiTheme="minorEastAsia" w:hAnsiTheme="minorEastAsia" w:cstheme="minorEastAsia"/>
                <w:sz w:val="22"/>
                <w:lang w:eastAsia="zh-CN"/>
              </w:rPr>
              <w:t>支持连接蓝牙</w:t>
            </w:r>
            <w:r>
              <w:rPr>
                <w:rFonts w:hint="eastAsia" w:eastAsia="微软雅黑" w:asciiTheme="minorEastAsia" w:hAnsiTheme="minorEastAsia" w:cstheme="minorEastAsia"/>
                <w:sz w:val="22"/>
                <w:lang w:val="en-US" w:eastAsia="zh-CN"/>
              </w:rPr>
              <w:t>5.0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rPr>
                <w:rFonts w:hint="eastAsia" w:ascii="思源黑体 CN Medium" w:hAnsi="宋体" w:eastAsia="思源黑体 CN Medium" w:cs="宋体"/>
                <w:b w:val="0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  <w:t>异常车位报警</w:t>
            </w:r>
          </w:p>
        </w:tc>
        <w:tc>
          <w:tcPr>
            <w:tcW w:w="4388" w:type="dxa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zh-CN" w:eastAsia="zh-CN" w:bidi="zh-CN"/>
              </w:rPr>
              <w:t>可软件设置异常车位占用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restart"/>
          </w:tcPr>
          <w:p>
            <w:pPr>
              <w:pStyle w:val="11"/>
              <w:keepNext w:val="0"/>
              <w:keepLines w:val="0"/>
              <w:suppressLineNumbers w:val="0"/>
              <w:spacing w:before="130" w:beforeAutospacing="0" w:after="0" w:afterAutospacing="0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图像</w:t>
            </w: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图像压缩标准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JPEG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图像分辨率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1920X1080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restart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438" w:lineRule="exact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视频参数</w:t>
            </w: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视频压缩标准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</w:rPr>
              <w:t>H.264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视频码率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256Kbps—4Mbps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126" w:beforeAutospacing="0" w:after="0" w:afterAutospacing="0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视频帧率</w:t>
            </w:r>
          </w:p>
        </w:tc>
        <w:tc>
          <w:tcPr>
            <w:tcW w:w="4388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1080p支持5-2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帧/秒</w:t>
            </w:r>
          </w:p>
          <w:p>
            <w:pPr>
              <w:pStyle w:val="11"/>
              <w:keepNext w:val="0"/>
              <w:keepLines w:val="0"/>
              <w:suppressLineNumbers w:val="0"/>
              <w:spacing w:before="148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CIF支持5-30帧/秒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126" w:beforeAutospacing="0" w:after="0" w:afterAutospacing="0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视频分辨率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148" w:beforeAutospacing="0" w:after="0" w:afterAutospacing="0"/>
              <w:ind w:right="0"/>
              <w:jc w:val="left"/>
              <w:rPr>
                <w:rFonts w:hint="default" w:asciiTheme="minorEastAsia" w:hAnsiTheme="minorEastAsia" w:eastAsiaTheme="minorEastAsia" w:cstheme="minorEastAsia"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200万像素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restart"/>
            <w:vAlign w:val="top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功能</w:t>
            </w: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车牌识别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微软雅黑" w:asciiTheme="minorEastAsia" w:hAnsi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="微软雅黑" w:hAnsi="微软雅黑" w:eastAsia="微软雅黑" w:cs="微软雅黑"/>
                <w:sz w:val="22"/>
                <w:lang w:eastAsia="zh-CN"/>
              </w:rPr>
              <w:t>车牌识别率≥</w:t>
            </w: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99.7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9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车位状态检测</w:t>
            </w:r>
            <w:r>
              <w:rPr>
                <w:rFonts w:hint="eastAsia" w:ascii="思源黑体 CN Medium" w:eastAsia="思源黑体 CN Medium"/>
                <w:b w:val="0"/>
                <w:sz w:val="22"/>
                <w:lang w:eastAsia="zh-CN"/>
              </w:rPr>
              <w:t>（变灯时间）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3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 w:asciiTheme="minorEastAsia" w:hAnsi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="微软雅黑" w:hAnsi="微软雅黑" w:eastAsia="微软雅黑" w:cs="微软雅黑"/>
                <w:sz w:val="22"/>
                <w:lang w:eastAsia="zh-CN"/>
              </w:rPr>
              <w:t>车辆驶入、驶出响应时间</w:t>
            </w:r>
            <w:r>
              <w:rPr>
                <w:rFonts w:ascii="Verdana" w:hAnsi="Verdana" w:eastAsia="宋体" w:cs="Verdana"/>
                <w:b w:val="0"/>
                <w:bCs w:val="0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Verdana" w:hAnsi="Verdana" w:eastAsia="宋体" w:cs="Verdana"/>
                <w:b w:val="0"/>
                <w:bCs w:val="0"/>
                <w:i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1s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车位指示灯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3种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红灯、黄灯、绿灯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远程控制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通过WEB方式远程配置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OSD信息叠加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支持日期、时间及自定义字符串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移动侦测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移动侦测功能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lang w:val="en-US" w:eastAsia="zh-CN"/>
              </w:rPr>
              <w:t>（提供公安部检测报告）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跨线报警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支持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专位专车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支持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记录模式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2张/车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restart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接口</w:t>
            </w: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网络接口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2个，RJ45 10M/100M自适应以太网口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RS485接口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1个（预留）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镜头接口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M12（2.8、3.6、4.0、6.0mm镜头可选)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1" w:lineRule="exact"/>
              <w:ind w:left="0" w:leftChars="0" w:right="0" w:firstLine="0" w:firstLineChars="0"/>
              <w:jc w:val="center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报警参数</w:t>
            </w:r>
          </w:p>
        </w:tc>
        <w:tc>
          <w:tcPr>
            <w:tcW w:w="185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报警输出</w:t>
            </w:r>
          </w:p>
        </w:tc>
        <w:tc>
          <w:tcPr>
            <w:tcW w:w="4388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2路（预留）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34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"/>
                <w:szCs w:val="2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56" w:lineRule="exact"/>
              <w:ind w:left="0" w:leftChars="0" w:right="0" w:firstLine="220" w:firstLineChars="100"/>
              <w:jc w:val="both"/>
              <w:rPr>
                <w:rFonts w:hint="eastAsia" w:ascii="思源黑体 CN Medium" w:eastAsia="思源黑体 CN Medium"/>
                <w:b w:val="0"/>
                <w:sz w:val="22"/>
              </w:rPr>
            </w:pPr>
            <w:r>
              <w:rPr>
                <w:rFonts w:hint="eastAsia" w:ascii="思源黑体 CN Medium" w:eastAsia="思源黑体 CN Medium"/>
                <w:b w:val="0"/>
                <w:sz w:val="22"/>
              </w:rPr>
              <w:t>报警输入</w:t>
            </w:r>
          </w:p>
        </w:tc>
        <w:tc>
          <w:tcPr>
            <w:tcW w:w="4388" w:type="dxa"/>
            <w:tcBorders>
              <w:bottom w:val="single" w:color="auto" w:sz="4" w:space="0"/>
            </w:tcBorders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2路（预留）</w:t>
            </w:r>
          </w:p>
        </w:tc>
      </w:tr>
    </w:tbl>
    <w:p>
      <w:pPr>
        <w:pStyle w:val="2"/>
        <w:rPr>
          <w:rFonts w:hint="default" w:eastAsiaTheme="majorEastAsia"/>
          <w:lang w:val="en-US" w:eastAsia="zh-CN"/>
        </w:rPr>
      </w:pPr>
    </w:p>
    <w:p>
      <w:pPr>
        <w:pStyle w:val="2"/>
        <w:rPr>
          <w:rFonts w:hint="default" w:eastAsiaTheme="majorEastAsia"/>
          <w:lang w:val="en-US" w:eastAsia="zh-CN"/>
        </w:rPr>
      </w:pPr>
    </w:p>
    <w:p>
      <w:pPr>
        <w:pStyle w:val="2"/>
        <w:rPr>
          <w:rFonts w:hint="default" w:eastAsiaTheme="majorEastAsia"/>
          <w:lang w:val="en-US" w:eastAsia="zh-CN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二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：枪形摄像机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1.枪型；1/2.8英寸CMOS；像素: 200万；最大分辨率: 1920×1080，最低照度: 0.002Lux（彩色模式）；0.002Lux（黑白模式）；0Lux（补光灯开启）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2.★宽动态能力综合评价得分应≥100。不小于120dB。（提供公安部有效检测报告复印件加盖原厂公章或投标专用章）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3.★在IE浏览器下，具有亮度、对比度、饱和度、锐度、gamma设置选项。（提供公安部有效检测报告复印件加盖原厂公章或投标专用章）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4.白光灯开启后，可识别距离样机60米处所摄目标的轮廓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5.应在DC（12±30%）V的供电条件下正常工作（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6.外壳防护等级：IP67。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7.★全时彩色录像功能检查：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白天和夜晚均可输出彩色视频录像（提供公安部有效检测报告复印件加盖原厂公章或投标专用章）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8.★支持将监视画面进行水平/垂直/中心翻转，可设置镜像功能开启/关闭。（提供公安部有效检测报告复印件加盖原厂公章或投标专用章）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9.★支持走廊模式功能开启，监控画面可90°旋转并自动调整宽高比。（提供公安部有效检测报告复印件加盖原厂公章或投标专用章）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10.摄像机应具有自动增益功能，使视频信号随目标亮度的变化自动调整视频输出。</w:t>
      </w:r>
    </w:p>
    <w:p>
      <w:pPr>
        <w:pStyle w:val="2"/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pStyle w:val="2"/>
        <w:rPr>
          <w:rFonts w:hint="eastAsia" w:eastAsiaTheme="majorEastAsia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三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硬盘录像机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1、★4个千兆以太网接口、2个光口、1个RS232接口、1个RS485接口、1个VGA接口、6个HDMI接口、1个RCA音频输入接口、1个RCA输出接口、4个USB接口(后面板2个USB3.0，前面板2个USB2.0)、16个SATA接口、1个eSATA接口、16个报警输入接口、8个报警输出接口，1个电源输入接口（提供公安部有效检测报告复印件加盖原厂公章或投标专用章）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2、★最大可接入16块接口为SATA的硬盘，单硬盘容量支持最大支持10TB，可通过eSATA接口外置硬盘（提供公安部有效检测报告复印件加盖原厂公章或投标专用章）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3、★可指定某块硬盘为热备盘，支持全局热备和局部热备（提供公安部有效检测报告复印件加盖原厂公章或投标专用章）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4、★支持对硬盘进行S.M.A.R.T检测、坏道检测、并可查看相关检测报告（提供公安部有效检测报告复印件加盖原厂公章或投标专用章）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5、★支持1/8、1/4、1/2、2、4、8、16、32、64、128、256倍速回放录像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支持逐帧倒放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即时回放：即时回放时间从5min到1h可调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常规回放：按通道和日期检索录像并回放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事件回放：按照事件类型查询单个或多个通道在某时间段的录像文件并回放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智能回放：支持对接入的Smart IPC的录像回放，可根据拌线入侵、区域入侵、（长度限制部分内容无法显示，详情请查阅原报告）（提供公安部有效检测报告复印件加盖原厂公章或投标专用章）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6、★最大支持128路IPC接入，总码流为768Mbps；最大存储码流为768Mbps;最大转发码流为768Mbps;最大回放码流为128Mbps（提供公安部有效检测报告复印件加盖原厂公章或投标专用章）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7、★可通过HDMI1和HDMI2接口将3840x2160分辨率的不同码流解码显示输出在两个4K的液晶屏上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8、支持本地64分割预览，显示64通道预览画面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支持用户自己创建预览显示的布局，可组成6个自定义布局的窗口,单个串口视频可选择。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支持VGA、HDMI1、HDMI2多屏输出，可输出不同的视频画面（提供公安部有效检测报告复印件加盖原厂公章或投标专用章）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Medium">
    <w:altName w:val="黑体"/>
    <w:panose1 w:val="020B0600000000000000"/>
    <w:charset w:val="80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panose1 w:val="02010609060101010101"/>
    <w:charset w:val="80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F1"/>
    <w:rsid w:val="000F0508"/>
    <w:rsid w:val="001443ED"/>
    <w:rsid w:val="00146677"/>
    <w:rsid w:val="001643FD"/>
    <w:rsid w:val="00164A77"/>
    <w:rsid w:val="002A7817"/>
    <w:rsid w:val="00315121"/>
    <w:rsid w:val="00435678"/>
    <w:rsid w:val="00653654"/>
    <w:rsid w:val="008676FA"/>
    <w:rsid w:val="00881899"/>
    <w:rsid w:val="00893B98"/>
    <w:rsid w:val="008E64BD"/>
    <w:rsid w:val="009C4827"/>
    <w:rsid w:val="009E6B7E"/>
    <w:rsid w:val="00A930B8"/>
    <w:rsid w:val="00B61857"/>
    <w:rsid w:val="00CA5D1B"/>
    <w:rsid w:val="00CD07B8"/>
    <w:rsid w:val="00D5589E"/>
    <w:rsid w:val="00DA45DF"/>
    <w:rsid w:val="00DC7AF1"/>
    <w:rsid w:val="00E66F38"/>
    <w:rsid w:val="00EB6C7C"/>
    <w:rsid w:val="00F44767"/>
    <w:rsid w:val="011B1802"/>
    <w:rsid w:val="016932ED"/>
    <w:rsid w:val="019F4437"/>
    <w:rsid w:val="01A64B4E"/>
    <w:rsid w:val="01B31991"/>
    <w:rsid w:val="02270356"/>
    <w:rsid w:val="02B8507E"/>
    <w:rsid w:val="02CD2829"/>
    <w:rsid w:val="03773BA8"/>
    <w:rsid w:val="048C5EDE"/>
    <w:rsid w:val="04CE38D8"/>
    <w:rsid w:val="05221596"/>
    <w:rsid w:val="06996EC7"/>
    <w:rsid w:val="06A51564"/>
    <w:rsid w:val="070D44E8"/>
    <w:rsid w:val="070D54D3"/>
    <w:rsid w:val="075A19CF"/>
    <w:rsid w:val="077167F4"/>
    <w:rsid w:val="07CF7D4B"/>
    <w:rsid w:val="082F6D35"/>
    <w:rsid w:val="083C5C57"/>
    <w:rsid w:val="084667B0"/>
    <w:rsid w:val="092510A3"/>
    <w:rsid w:val="092819FD"/>
    <w:rsid w:val="094C4417"/>
    <w:rsid w:val="09631AE8"/>
    <w:rsid w:val="0A342B6D"/>
    <w:rsid w:val="0B0C0E1E"/>
    <w:rsid w:val="0B56715E"/>
    <w:rsid w:val="0C16712F"/>
    <w:rsid w:val="0C4A1379"/>
    <w:rsid w:val="0CBB5FC5"/>
    <w:rsid w:val="0E1C577B"/>
    <w:rsid w:val="0E3B6083"/>
    <w:rsid w:val="0E937CA7"/>
    <w:rsid w:val="0ECF6FF8"/>
    <w:rsid w:val="0FA15378"/>
    <w:rsid w:val="0FBF0C3D"/>
    <w:rsid w:val="0FC47E93"/>
    <w:rsid w:val="10DF6D19"/>
    <w:rsid w:val="10EB61FF"/>
    <w:rsid w:val="11750A96"/>
    <w:rsid w:val="11C82F41"/>
    <w:rsid w:val="122E659B"/>
    <w:rsid w:val="124646FC"/>
    <w:rsid w:val="129909DF"/>
    <w:rsid w:val="12BB1FE9"/>
    <w:rsid w:val="12BC2ADA"/>
    <w:rsid w:val="13B13774"/>
    <w:rsid w:val="13D35B06"/>
    <w:rsid w:val="13E90D41"/>
    <w:rsid w:val="14537A08"/>
    <w:rsid w:val="153B298C"/>
    <w:rsid w:val="15453C17"/>
    <w:rsid w:val="1659625D"/>
    <w:rsid w:val="17737CBA"/>
    <w:rsid w:val="179F77BE"/>
    <w:rsid w:val="17A91F37"/>
    <w:rsid w:val="18643C03"/>
    <w:rsid w:val="18D96009"/>
    <w:rsid w:val="19D373EB"/>
    <w:rsid w:val="1A14083D"/>
    <w:rsid w:val="1A527065"/>
    <w:rsid w:val="1AE7148B"/>
    <w:rsid w:val="1B370A8C"/>
    <w:rsid w:val="1B686A55"/>
    <w:rsid w:val="1B7F2AFC"/>
    <w:rsid w:val="1C4B0A9A"/>
    <w:rsid w:val="1C4B5694"/>
    <w:rsid w:val="1C744F35"/>
    <w:rsid w:val="1CBA37BC"/>
    <w:rsid w:val="1CDC5E5D"/>
    <w:rsid w:val="1CE34548"/>
    <w:rsid w:val="1D552206"/>
    <w:rsid w:val="1D594AEC"/>
    <w:rsid w:val="1DBE6B9B"/>
    <w:rsid w:val="1DC67765"/>
    <w:rsid w:val="1E476AF4"/>
    <w:rsid w:val="1EE67568"/>
    <w:rsid w:val="1FD55A9B"/>
    <w:rsid w:val="20725503"/>
    <w:rsid w:val="209A4356"/>
    <w:rsid w:val="20C06A05"/>
    <w:rsid w:val="20EC4AA4"/>
    <w:rsid w:val="221370CE"/>
    <w:rsid w:val="226974E6"/>
    <w:rsid w:val="22BD6A01"/>
    <w:rsid w:val="22C0606D"/>
    <w:rsid w:val="23AA4B21"/>
    <w:rsid w:val="240C3D28"/>
    <w:rsid w:val="242426D7"/>
    <w:rsid w:val="24757A61"/>
    <w:rsid w:val="247626B4"/>
    <w:rsid w:val="24BB4D8D"/>
    <w:rsid w:val="24D43526"/>
    <w:rsid w:val="24DB1F5F"/>
    <w:rsid w:val="25B404A3"/>
    <w:rsid w:val="25D066CC"/>
    <w:rsid w:val="26546238"/>
    <w:rsid w:val="27D9284E"/>
    <w:rsid w:val="27DC4110"/>
    <w:rsid w:val="27FC06AD"/>
    <w:rsid w:val="28AE08BC"/>
    <w:rsid w:val="28D80BF4"/>
    <w:rsid w:val="28D92F11"/>
    <w:rsid w:val="291353A3"/>
    <w:rsid w:val="292316BC"/>
    <w:rsid w:val="29320A23"/>
    <w:rsid w:val="29B107DE"/>
    <w:rsid w:val="29F3452F"/>
    <w:rsid w:val="2A065316"/>
    <w:rsid w:val="2A6905D5"/>
    <w:rsid w:val="2A911030"/>
    <w:rsid w:val="2AE9428B"/>
    <w:rsid w:val="2AFE6B78"/>
    <w:rsid w:val="2BB33EEA"/>
    <w:rsid w:val="2C276FC0"/>
    <w:rsid w:val="2C3A33DD"/>
    <w:rsid w:val="2C3C4D81"/>
    <w:rsid w:val="2C731B57"/>
    <w:rsid w:val="2D17230B"/>
    <w:rsid w:val="2DAC4DEC"/>
    <w:rsid w:val="2DCE072A"/>
    <w:rsid w:val="2E3702AD"/>
    <w:rsid w:val="2E760C76"/>
    <w:rsid w:val="2E9E5622"/>
    <w:rsid w:val="2EB35993"/>
    <w:rsid w:val="2ED025C2"/>
    <w:rsid w:val="2F461914"/>
    <w:rsid w:val="2F7F11D5"/>
    <w:rsid w:val="2FFB29B4"/>
    <w:rsid w:val="30205ADD"/>
    <w:rsid w:val="30941D51"/>
    <w:rsid w:val="30A62A1C"/>
    <w:rsid w:val="30BF59B2"/>
    <w:rsid w:val="30EA6903"/>
    <w:rsid w:val="30EB59CC"/>
    <w:rsid w:val="30F87D23"/>
    <w:rsid w:val="318C0C9D"/>
    <w:rsid w:val="31DA6C31"/>
    <w:rsid w:val="31F6439C"/>
    <w:rsid w:val="327B403D"/>
    <w:rsid w:val="32EF5F30"/>
    <w:rsid w:val="33B33617"/>
    <w:rsid w:val="33C706C8"/>
    <w:rsid w:val="3416771A"/>
    <w:rsid w:val="345644CA"/>
    <w:rsid w:val="34AA2BEE"/>
    <w:rsid w:val="34EF0B03"/>
    <w:rsid w:val="35B24D30"/>
    <w:rsid w:val="36376268"/>
    <w:rsid w:val="36524A1F"/>
    <w:rsid w:val="36A24524"/>
    <w:rsid w:val="36AE2D6E"/>
    <w:rsid w:val="37977F86"/>
    <w:rsid w:val="37E074EF"/>
    <w:rsid w:val="383C245A"/>
    <w:rsid w:val="38933001"/>
    <w:rsid w:val="389436B4"/>
    <w:rsid w:val="39A454DE"/>
    <w:rsid w:val="3A382F10"/>
    <w:rsid w:val="3A6F1385"/>
    <w:rsid w:val="3A935B46"/>
    <w:rsid w:val="3AFF4EDC"/>
    <w:rsid w:val="3B9C2EA2"/>
    <w:rsid w:val="3BE12C68"/>
    <w:rsid w:val="3BF16C0B"/>
    <w:rsid w:val="3C0C0EB1"/>
    <w:rsid w:val="3C17378F"/>
    <w:rsid w:val="3CC37308"/>
    <w:rsid w:val="3D380065"/>
    <w:rsid w:val="3DAD6392"/>
    <w:rsid w:val="3DD26089"/>
    <w:rsid w:val="3E8A0D23"/>
    <w:rsid w:val="3EC30D4E"/>
    <w:rsid w:val="3F4B02A5"/>
    <w:rsid w:val="3F9169B2"/>
    <w:rsid w:val="3FDD3E07"/>
    <w:rsid w:val="401966D7"/>
    <w:rsid w:val="40675930"/>
    <w:rsid w:val="40843C3D"/>
    <w:rsid w:val="40BE4EB0"/>
    <w:rsid w:val="417E7D13"/>
    <w:rsid w:val="41CB5C5C"/>
    <w:rsid w:val="41D27084"/>
    <w:rsid w:val="41DD0691"/>
    <w:rsid w:val="423701BF"/>
    <w:rsid w:val="426A4272"/>
    <w:rsid w:val="42AC423C"/>
    <w:rsid w:val="42D42E6D"/>
    <w:rsid w:val="43777F0C"/>
    <w:rsid w:val="43D12EC8"/>
    <w:rsid w:val="441B64F4"/>
    <w:rsid w:val="4445105B"/>
    <w:rsid w:val="446274FD"/>
    <w:rsid w:val="44985667"/>
    <w:rsid w:val="44BA3F6F"/>
    <w:rsid w:val="452D35E0"/>
    <w:rsid w:val="46087BE4"/>
    <w:rsid w:val="464D730D"/>
    <w:rsid w:val="48550B08"/>
    <w:rsid w:val="496C2199"/>
    <w:rsid w:val="4AE1216E"/>
    <w:rsid w:val="4B2947D5"/>
    <w:rsid w:val="4B642813"/>
    <w:rsid w:val="4B853F59"/>
    <w:rsid w:val="4C0B5955"/>
    <w:rsid w:val="4C307E3C"/>
    <w:rsid w:val="4C4C5748"/>
    <w:rsid w:val="4C9E32B0"/>
    <w:rsid w:val="4CB575C6"/>
    <w:rsid w:val="4CCD0951"/>
    <w:rsid w:val="4D2B785B"/>
    <w:rsid w:val="4D3A7629"/>
    <w:rsid w:val="4D622152"/>
    <w:rsid w:val="4DB443C0"/>
    <w:rsid w:val="4E5F1625"/>
    <w:rsid w:val="4EEE064E"/>
    <w:rsid w:val="4F155D09"/>
    <w:rsid w:val="4F470F55"/>
    <w:rsid w:val="4FB7208D"/>
    <w:rsid w:val="4FE924B9"/>
    <w:rsid w:val="501155AA"/>
    <w:rsid w:val="50932A02"/>
    <w:rsid w:val="51080835"/>
    <w:rsid w:val="51440EAB"/>
    <w:rsid w:val="51606B55"/>
    <w:rsid w:val="51773762"/>
    <w:rsid w:val="51FA75FD"/>
    <w:rsid w:val="520F50BB"/>
    <w:rsid w:val="522D0F3E"/>
    <w:rsid w:val="53280B04"/>
    <w:rsid w:val="54232478"/>
    <w:rsid w:val="54E56A3E"/>
    <w:rsid w:val="5510298E"/>
    <w:rsid w:val="55274CF3"/>
    <w:rsid w:val="555D7FBC"/>
    <w:rsid w:val="55B32283"/>
    <w:rsid w:val="560F2699"/>
    <w:rsid w:val="5613090C"/>
    <w:rsid w:val="565B461A"/>
    <w:rsid w:val="580D4F29"/>
    <w:rsid w:val="583A3C9A"/>
    <w:rsid w:val="58FF624A"/>
    <w:rsid w:val="593C40A5"/>
    <w:rsid w:val="59844087"/>
    <w:rsid w:val="599B0E25"/>
    <w:rsid w:val="59AF509F"/>
    <w:rsid w:val="59FD7721"/>
    <w:rsid w:val="5A8F6CF0"/>
    <w:rsid w:val="5B5231CC"/>
    <w:rsid w:val="5BB4106B"/>
    <w:rsid w:val="5BED2B89"/>
    <w:rsid w:val="5BF601E7"/>
    <w:rsid w:val="5C17237E"/>
    <w:rsid w:val="5CB073DD"/>
    <w:rsid w:val="5CC323B6"/>
    <w:rsid w:val="5D686FBA"/>
    <w:rsid w:val="5E077A43"/>
    <w:rsid w:val="5E7965E4"/>
    <w:rsid w:val="5F044DF7"/>
    <w:rsid w:val="5F0C7F64"/>
    <w:rsid w:val="5F2542FF"/>
    <w:rsid w:val="5F3574F6"/>
    <w:rsid w:val="5F6B504A"/>
    <w:rsid w:val="613F2E88"/>
    <w:rsid w:val="616B0CA3"/>
    <w:rsid w:val="61AC5431"/>
    <w:rsid w:val="62205B39"/>
    <w:rsid w:val="62377442"/>
    <w:rsid w:val="62523594"/>
    <w:rsid w:val="63264273"/>
    <w:rsid w:val="6412158D"/>
    <w:rsid w:val="64164F63"/>
    <w:rsid w:val="6436543E"/>
    <w:rsid w:val="648342D2"/>
    <w:rsid w:val="64AA0338"/>
    <w:rsid w:val="64F93399"/>
    <w:rsid w:val="65C458FC"/>
    <w:rsid w:val="65D4604B"/>
    <w:rsid w:val="65F016D0"/>
    <w:rsid w:val="65FF291A"/>
    <w:rsid w:val="668B2072"/>
    <w:rsid w:val="66A259F8"/>
    <w:rsid w:val="66D0744C"/>
    <w:rsid w:val="66E12AB6"/>
    <w:rsid w:val="673165BD"/>
    <w:rsid w:val="674F0B98"/>
    <w:rsid w:val="67A63DB9"/>
    <w:rsid w:val="67AB1502"/>
    <w:rsid w:val="687A2D2B"/>
    <w:rsid w:val="689A0F88"/>
    <w:rsid w:val="68E00ABB"/>
    <w:rsid w:val="6B812307"/>
    <w:rsid w:val="6C185372"/>
    <w:rsid w:val="6CB55658"/>
    <w:rsid w:val="6CD046C3"/>
    <w:rsid w:val="6D1B7F4C"/>
    <w:rsid w:val="6D4E56D2"/>
    <w:rsid w:val="70916ADE"/>
    <w:rsid w:val="716E2BF7"/>
    <w:rsid w:val="718F0FBC"/>
    <w:rsid w:val="72025BFC"/>
    <w:rsid w:val="728B377D"/>
    <w:rsid w:val="729F2205"/>
    <w:rsid w:val="73564683"/>
    <w:rsid w:val="739B6DD4"/>
    <w:rsid w:val="73C13390"/>
    <w:rsid w:val="74DF2951"/>
    <w:rsid w:val="74E62BC5"/>
    <w:rsid w:val="75463C3C"/>
    <w:rsid w:val="75C940BD"/>
    <w:rsid w:val="7689459D"/>
    <w:rsid w:val="76916F01"/>
    <w:rsid w:val="76C44364"/>
    <w:rsid w:val="77642E86"/>
    <w:rsid w:val="77757EA1"/>
    <w:rsid w:val="78824D2B"/>
    <w:rsid w:val="78C77FF2"/>
    <w:rsid w:val="79101BD3"/>
    <w:rsid w:val="79603E92"/>
    <w:rsid w:val="797A789B"/>
    <w:rsid w:val="7A01241D"/>
    <w:rsid w:val="7A400FC7"/>
    <w:rsid w:val="7A8D76A9"/>
    <w:rsid w:val="7B213A73"/>
    <w:rsid w:val="7B444386"/>
    <w:rsid w:val="7B610BB0"/>
    <w:rsid w:val="7B812007"/>
    <w:rsid w:val="7BA16D09"/>
    <w:rsid w:val="7BB66C78"/>
    <w:rsid w:val="7BCC7CE2"/>
    <w:rsid w:val="7C3166C3"/>
    <w:rsid w:val="7C3B0326"/>
    <w:rsid w:val="7C9E2107"/>
    <w:rsid w:val="7CA660DA"/>
    <w:rsid w:val="7CB71FB4"/>
    <w:rsid w:val="7D131B94"/>
    <w:rsid w:val="7D6907C4"/>
    <w:rsid w:val="7DD362A2"/>
    <w:rsid w:val="7F071BFF"/>
    <w:rsid w:val="7F3650CC"/>
    <w:rsid w:val="7FB03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Lines="50" w:afterLines="50" w:line="416" w:lineRule="auto"/>
      <w:ind w:left="200" w:leftChars="20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2">
    <w:name w:val="标题 2 Char"/>
    <w:basedOn w:val="7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13">
    <w:name w:val="周-正文"/>
    <w:basedOn w:val="1"/>
    <w:qFormat/>
    <w:uiPriority w:val="0"/>
    <w:pPr>
      <w:spacing w:line="360" w:lineRule="auto"/>
    </w:pPr>
    <w:rPr>
      <w:rFonts w:ascii="Calibri" w:hAnsi="Calibr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510</Words>
  <Characters>2909</Characters>
  <Lines>24</Lines>
  <Paragraphs>6</Paragraphs>
  <TotalTime>2</TotalTime>
  <ScaleCrop>false</ScaleCrop>
  <LinksUpToDate>false</LinksUpToDate>
  <CharactersWithSpaces>3413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2019-11-26T02:44:00Z</dcterms:created>
  <dc:creator>Administrator.PC-20190929LZIE</dc:creator>
  <cp:lastModifiedBy>黑白由问</cp:lastModifiedBy>
  <dcterms:modified xsi:type="dcterms:W3CDTF">2021-01-26T00:12:54Z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