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jc w:val="left"/>
        <w:outlineLvl w:val="1"/>
        <w:rPr>
          <w:rFonts w:eastAsia="微软雅黑"/>
          <w:b/>
          <w:bCs/>
          <w:szCs w:val="21"/>
          <w:u w:val="single"/>
        </w:rPr>
      </w:pPr>
      <w:bookmarkStart w:id="0" w:name="_Toc17916"/>
      <w:r>
        <w:rPr>
          <w:rFonts w:hint="default" w:ascii="宋体" w:hAnsi="宋体" w:eastAsia="宋体" w:cs="宋体"/>
          <w:b/>
          <w:bCs/>
          <w:sz w:val="28"/>
          <w:szCs w:val="28"/>
          <w:lang w:val="en-US"/>
        </w:rPr>
        <w:t>糖化血红蛋白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技术参数</w:t>
      </w:r>
      <w:bookmarkEnd w:id="0"/>
    </w:p>
    <w:tbl>
      <w:tblPr>
        <w:tblStyle w:val="2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6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4" w:type="dxa"/>
            <w:vAlign w:val="center"/>
          </w:tcPr>
          <w:p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测定原理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离子交换高效液相色谱法（HPLC）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样本类型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全血、稀释血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测定项目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HbA1c  NGSP值：3～18%；IFCC值：9.2～173.2mmol/mol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样本位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大于30</w:t>
            </w:r>
            <w:r>
              <w:rPr>
                <w:sz w:val="18"/>
                <w:szCs w:val="18"/>
              </w:rPr>
              <w:t>个批量或连续上样；具备急诊（ST）位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重复性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CV&lt;1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.5</w:t>
            </w:r>
            <w:r>
              <w:rPr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检测范围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3%～18%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检测波长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rFonts w:hint="eastAsia"/>
              </w:rPr>
              <w:t>采用双波长（4</w:t>
            </w:r>
            <w:r>
              <w:t>15</w:t>
            </w:r>
            <w:r>
              <w:rPr>
                <w:rFonts w:hint="eastAsia"/>
              </w:rPr>
              <w:t>nm、5</w:t>
            </w:r>
            <w:r>
              <w:t>25</w:t>
            </w:r>
            <w:r>
              <w:rPr>
                <w:rFonts w:hint="eastAsia"/>
              </w:rPr>
              <w:t>nm）吸光度法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认证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获得NGSP和IFCC认证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sz w:val="18"/>
                <w:szCs w:val="18"/>
              </w:rPr>
              <w:t>层析柱/过滤器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sz w:val="18"/>
                <w:szCs w:val="18"/>
              </w:rPr>
              <w:t>层析柱测试次</w:t>
            </w:r>
            <w:bookmarkStart w:id="1" w:name="_GoBack"/>
            <w:bookmarkEnd w:id="1"/>
            <w:r>
              <w:rPr>
                <w:b/>
                <w:bCs/>
                <w:sz w:val="18"/>
                <w:szCs w:val="18"/>
              </w:rPr>
              <w:t>数：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b/>
                <w:bCs/>
                <w:sz w:val="18"/>
                <w:szCs w:val="18"/>
              </w:rPr>
              <w:t>00T  过滤器测试次数：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b/>
                <w:bCs/>
                <w:sz w:val="18"/>
                <w:szCs w:val="18"/>
              </w:rPr>
              <w:t>00T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扫描器功能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系统支持全自动扫描条形码的功能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sz w:val="18"/>
                <w:szCs w:val="18"/>
              </w:rPr>
              <w:t>试剂余量提示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bCs/>
                <w:sz w:val="18"/>
                <w:szCs w:val="18"/>
              </w:rPr>
              <w:t>具有试剂剩余量提示功能，同时在试剂量剩余量不足时发出报警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进样方式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连续自动进样和封闭穿刺进样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外部接口</w:t>
            </w:r>
          </w:p>
        </w:tc>
        <w:tc>
          <w:tcPr>
            <w:tcW w:w="6754" w:type="dxa"/>
            <w:vAlign w:val="center"/>
          </w:tcPr>
          <w:p>
            <w:pPr>
              <w:adjustRightInd w:val="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系统具备RS232接口，支持HIS/LIS系统连接功能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中文报告</w:t>
            </w: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系统以热敏打印机打印中文报告，报告包括样本ID号，检验时间，IFCC浓度值，NGSP面积比，ADA平均血糖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试剂</w:t>
            </w: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以测试数核定试剂价格，辅助耗材免费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质控品、校准品</w:t>
            </w: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66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54" w:type="dxa"/>
            <w:vAlign w:val="center"/>
          </w:tcPr>
          <w:p>
            <w:pPr>
              <w:ind w:right="25" w:rightChars="12"/>
              <w:rPr>
                <w:sz w:val="18"/>
                <w:szCs w:val="18"/>
              </w:rPr>
            </w:pPr>
          </w:p>
        </w:tc>
      </w:tr>
    </w:tbl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>
      <w:pPr>
        <w:pStyle w:val="4"/>
        <w:spacing w:line="300" w:lineRule="auto"/>
        <w:ind w:firstLine="0" w:firstLineChars="0"/>
        <w:jc w:val="left"/>
        <w:rPr>
          <w:rFonts w:eastAsia="微软雅黑"/>
          <w:b/>
          <w:bCs/>
          <w:szCs w:val="21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C13"/>
    <w:rsid w:val="07DC567C"/>
    <w:rsid w:val="17532A72"/>
    <w:rsid w:val="202875E0"/>
    <w:rsid w:val="2EE13921"/>
    <w:rsid w:val="4BFC35AA"/>
    <w:rsid w:val="4D606AE9"/>
    <w:rsid w:val="4FD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link w:val="5"/>
    <w:qFormat/>
    <w:uiPriority w:val="99"/>
    <w:pPr>
      <w:ind w:firstLine="420" w:firstLineChars="200"/>
    </w:pPr>
  </w:style>
  <w:style w:type="character" w:customStyle="1" w:styleId="5">
    <w:name w:val="列出段落 Char"/>
    <w:link w:val="4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470</Characters>
  <Paragraphs>68</Paragraphs>
  <TotalTime>1</TotalTime>
  <ScaleCrop>false</ScaleCrop>
  <LinksUpToDate>false</LinksUpToDate>
  <CharactersWithSpaces>477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2019-02-27T03:18:00Z</dcterms:created>
  <dc:creator>xb21cn</dc:creator>
  <cp:lastModifiedBy>Administrator</cp:lastModifiedBy>
  <dcterms:modified xsi:type="dcterms:W3CDTF">2021-07-14T09:15:52Z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d61c1227a8a347668a400185a4cf1db6</vt:lpwstr>
  </property>
  <property fmtid="{D5CDD505-2E9C-101B-9397-08002B2CF9AE}" pid="3" name="KSOProductBuildVer">
    <vt:lpwstr>2052-11.1.0.9564</vt:lpwstr>
  </property>
</Properties>
</file>